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D640E">
        <w:rPr>
          <w:u w:val="single"/>
        </w:rPr>
        <w:t>1524061780955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006FF" wp14:editId="740954BA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5045996" wp14:editId="32ED8644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D1416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623DA">
        <w:rPr>
          <w:sz w:val="24"/>
          <w:u w:val="single"/>
        </w:rPr>
        <w:t>15</w:t>
      </w:r>
      <w:r w:rsidR="00BC05AC">
        <w:rPr>
          <w:sz w:val="24"/>
          <w:u w:val="single"/>
        </w:rPr>
        <w:t xml:space="preserve"> </w:t>
      </w:r>
      <w:r w:rsidR="008D640E">
        <w:rPr>
          <w:sz w:val="24"/>
          <w:u w:val="single"/>
        </w:rPr>
        <w:t>декабря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8D640E">
        <w:rPr>
          <w:sz w:val="24"/>
          <w:u w:val="single"/>
        </w:rPr>
        <w:t>1524061780955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1128D7" w:rsidP="009F7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8D640E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1524061780955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4BA9C" wp14:editId="2A17EBF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D640E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1524061780955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D640E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1524061780955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DA41" wp14:editId="3922C7E1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05AC">
                              <w:rPr>
                                <w:color w:val="000000"/>
                                <w:sz w:val="24"/>
                              </w:rPr>
                              <w:t>152406178095</w:t>
                            </w:r>
                            <w:r w:rsidR="008D640E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05AC">
                        <w:rPr>
                          <w:color w:val="000000"/>
                          <w:sz w:val="24"/>
                        </w:rPr>
                        <w:t>152406178095</w:t>
                      </w:r>
                      <w:r w:rsidR="008D640E">
                        <w:rPr>
                          <w:color w:val="000000"/>
                          <w:sz w:val="24"/>
                        </w:rPr>
                        <w:t>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E07CCE">
            <wp:extent cx="8711650" cy="50444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79" cy="504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A17B" wp14:editId="3525DC27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05AC">
                              <w:rPr>
                                <w:color w:val="000000"/>
                                <w:sz w:val="24"/>
                              </w:rPr>
                              <w:t>152406178095</w:t>
                            </w:r>
                            <w:r w:rsidR="008D640E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05AC">
                        <w:rPr>
                          <w:color w:val="000000"/>
                          <w:sz w:val="24"/>
                        </w:rPr>
                        <w:t>152406178095</w:t>
                      </w:r>
                      <w:r w:rsidR="008D640E">
                        <w:rPr>
                          <w:color w:val="000000"/>
                          <w:sz w:val="24"/>
                        </w:rPr>
                        <w:t>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8D640E">
        <w:rPr>
          <w:noProof/>
          <w:lang w:eastAsia="ru-RU"/>
        </w:rPr>
        <w:drawing>
          <wp:inline distT="0" distB="0" distL="0" distR="0" wp14:anchorId="7BE5AA30">
            <wp:extent cx="8833742" cy="55245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981" cy="552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8D640E">
        <w:rPr>
          <w:color w:val="000000"/>
          <w:sz w:val="24"/>
        </w:rPr>
        <w:t>1524061780955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BC05AC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C05AC" w:rsidRDefault="00DE0733" w:rsidP="000372BC">
            <w:pPr>
              <w:jc w:val="center"/>
              <w:rPr>
                <w:sz w:val="24"/>
              </w:rPr>
            </w:pPr>
            <w:r w:rsidRPr="00BC05AC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C05AC" w:rsidRDefault="00DE0733" w:rsidP="000372BC">
            <w:pPr>
              <w:jc w:val="center"/>
              <w:rPr>
                <w:sz w:val="24"/>
              </w:rPr>
            </w:pPr>
            <w:r w:rsidRPr="00BC05AC">
              <w:rPr>
                <w:sz w:val="24"/>
              </w:rPr>
              <w:t>Коэффициент калибровки, дБ</w:t>
            </w:r>
            <w:r w:rsidR="000F0FCB" w:rsidRPr="00BC05AC">
              <w:rPr>
                <w:sz w:val="24"/>
              </w:rPr>
              <w:t>/м</w:t>
            </w:r>
          </w:p>
        </w:tc>
      </w:tr>
      <w:tr w:rsidR="00290220" w:rsidRPr="00BC05AC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BC05A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C05AC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8D640E" w:rsidRPr="00BC05AC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97,7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94,7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92,6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81,0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80,2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72,4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69,0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62,7</w:t>
            </w:r>
          </w:p>
        </w:tc>
      </w:tr>
      <w:tr w:rsidR="008D640E" w:rsidRPr="00BC05AC" w:rsidTr="00CE5D09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55,1</w:t>
            </w:r>
          </w:p>
        </w:tc>
      </w:tr>
      <w:tr w:rsidR="00290220" w:rsidRPr="00BC05AC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BC05A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C05AC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8D640E" w:rsidRPr="00BC05AC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93,8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94,5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88,8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80,9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74,8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68,9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60,7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54,8</w:t>
            </w:r>
          </w:p>
        </w:tc>
        <w:bookmarkStart w:id="55" w:name="_GoBack"/>
        <w:bookmarkEnd w:id="55"/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48,5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45,3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48,0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51,4</w:t>
            </w:r>
          </w:p>
        </w:tc>
      </w:tr>
      <w:tr w:rsidR="008D640E" w:rsidRPr="00BC05AC" w:rsidTr="00544810">
        <w:tc>
          <w:tcPr>
            <w:tcW w:w="3289" w:type="dxa"/>
            <w:shd w:val="clear" w:color="auto" w:fill="auto"/>
            <w:vAlign w:val="center"/>
          </w:tcPr>
          <w:p w:rsidR="008D640E" w:rsidRPr="00BC05AC" w:rsidRDefault="008D640E">
            <w:pPr>
              <w:jc w:val="center"/>
              <w:rPr>
                <w:color w:val="000000"/>
                <w:sz w:val="24"/>
              </w:rPr>
            </w:pPr>
            <w:r w:rsidRPr="00BC05A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640E" w:rsidRPr="008D640E" w:rsidRDefault="008D640E">
            <w:pPr>
              <w:jc w:val="center"/>
              <w:rPr>
                <w:sz w:val="24"/>
              </w:rPr>
            </w:pPr>
            <w:r w:rsidRPr="008D640E">
              <w:rPr>
                <w:sz w:val="24"/>
              </w:rPr>
              <w:t>50,6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6A" w:rsidRDefault="00D1416A" w:rsidP="008050A7">
      <w:r>
        <w:separator/>
      </w:r>
    </w:p>
  </w:endnote>
  <w:endnote w:type="continuationSeparator" w:id="0">
    <w:p w:rsidR="00D1416A" w:rsidRDefault="00D1416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D640E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6A" w:rsidRDefault="00D1416A" w:rsidP="008050A7">
      <w:r>
        <w:separator/>
      </w:r>
    </w:p>
  </w:footnote>
  <w:footnote w:type="continuationSeparator" w:id="0">
    <w:p w:rsidR="00D1416A" w:rsidRDefault="00D1416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652A-A3FD-4651-AE7D-8B7F4B79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35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25091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58</cp:revision>
  <cp:lastPrinted>2024-03-01T11:21:00Z</cp:lastPrinted>
  <dcterms:created xsi:type="dcterms:W3CDTF">2023-06-06T13:17:00Z</dcterms:created>
  <dcterms:modified xsi:type="dcterms:W3CDTF">2025-01-31T06:09:00Z</dcterms:modified>
</cp:coreProperties>
</file>