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FC4080">
        <w:rPr>
          <w:b/>
          <w:sz w:val="28"/>
          <w:szCs w:val="28"/>
        </w:rPr>
        <w:t>1524029990824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9C8C91" wp14:editId="50C96726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86F9CA" wp14:editId="2A29A42F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bookmarkStart w:id="1" w:name="_GoBack"/>
      <w:bookmarkEnd w:id="1"/>
      <w:r>
        <w:t>Лист</w:t>
      </w:r>
    </w:p>
    <w:p w:rsidR="00AF2F77" w:rsidRDefault="00AF2F77" w:rsidP="00AF2F77">
      <w:pPr>
        <w:jc w:val="right"/>
      </w:pPr>
    </w:p>
    <w:p w:rsidR="00031766" w:rsidRDefault="008D33CD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91972486" w:history="1">
        <w:r w:rsidR="00031766" w:rsidRPr="00081CA0">
          <w:rPr>
            <w:rStyle w:val="af3"/>
            <w:noProof/>
          </w:rPr>
          <w:t>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ОБЩИЕ УКАЗАНИЯ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7" w:history="1">
        <w:r w:rsidR="00031766" w:rsidRPr="00081CA0">
          <w:rPr>
            <w:rStyle w:val="af3"/>
            <w:noProof/>
          </w:rPr>
          <w:t>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СВЕДЕНИЯ ОБ ИЗДЕЛИИ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8" w:history="1">
        <w:r w:rsidR="00031766" w:rsidRPr="00081CA0">
          <w:rPr>
            <w:rStyle w:val="af3"/>
            <w:noProof/>
          </w:rPr>
          <w:t>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МЕТРОЛОГИЧЕСКИЕ И ТЕХНИЧЕСКИЕ ХАРАКТЕРИСТИКИ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9" w:history="1">
        <w:r w:rsidR="00031766" w:rsidRPr="00081CA0">
          <w:rPr>
            <w:rStyle w:val="af3"/>
            <w:noProof/>
          </w:rPr>
          <w:t>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ИНДИВИДУАЛЬНЫЕ ОСОБЕННОСТИ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0" w:history="1">
        <w:r w:rsidR="00031766" w:rsidRPr="00081CA0">
          <w:rPr>
            <w:rStyle w:val="af3"/>
            <w:noProof/>
          </w:rPr>
          <w:t>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КОМПЛЕКТНОСТЬ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1" w:history="1">
        <w:r w:rsidR="00031766" w:rsidRPr="00081CA0">
          <w:rPr>
            <w:rStyle w:val="af3"/>
            <w:noProof/>
          </w:rPr>
          <w:t>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РЕСУРСЫ, СРОКИ СЛУЖБЫ И ХРАНЕНИЯ. ГАРАНТИИ ИЗГОТОВИТЕЛЯ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2" w:history="1">
        <w:r w:rsidR="00031766" w:rsidRPr="00081CA0">
          <w:rPr>
            <w:rStyle w:val="af3"/>
            <w:noProof/>
          </w:rPr>
          <w:t>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КОНСЕРВАЦИЯ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3" w:history="1">
        <w:r w:rsidR="00031766" w:rsidRPr="00081CA0">
          <w:rPr>
            <w:rStyle w:val="af3"/>
            <w:noProof/>
          </w:rPr>
          <w:t>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ОБ УПАКОВЫВАНИИ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4" w:history="1">
        <w:r w:rsidR="00031766" w:rsidRPr="00081CA0">
          <w:rPr>
            <w:rStyle w:val="af3"/>
            <w:noProof/>
          </w:rPr>
          <w:t>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 ПРИЕМКЕ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10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5" w:history="1">
        <w:r w:rsidR="00031766" w:rsidRPr="00081CA0">
          <w:rPr>
            <w:rStyle w:val="af3"/>
            <w:noProof/>
          </w:rPr>
          <w:t>10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ДВИЖЕНИЕ ИЗДЕЛИЯ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11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6" w:history="1">
        <w:r w:rsidR="00031766" w:rsidRPr="00081CA0">
          <w:rPr>
            <w:rStyle w:val="af3"/>
            <w:noProof/>
          </w:rPr>
          <w:t>11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14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7" w:history="1">
        <w:r w:rsidR="00031766" w:rsidRPr="00081CA0">
          <w:rPr>
            <w:rStyle w:val="af3"/>
            <w:noProof/>
          </w:rPr>
          <w:t>12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ТЕХНИЧЕСКОГО ОБСЛУЖИВАНИЯ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16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8" w:history="1">
        <w:r w:rsidR="00031766" w:rsidRPr="00081CA0">
          <w:rPr>
            <w:rStyle w:val="af3"/>
            <w:noProof/>
          </w:rPr>
          <w:t>13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ПО БЮЛЛЕТЕНЯМ И УКАЗАНИЯМ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17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9" w:history="1">
        <w:r w:rsidR="00031766" w:rsidRPr="00081CA0">
          <w:rPr>
            <w:rStyle w:val="af3"/>
            <w:noProof/>
          </w:rPr>
          <w:t>14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РАБОТЫ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18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0" w:history="1">
        <w:r w:rsidR="00031766" w:rsidRPr="00081CA0">
          <w:rPr>
            <w:rStyle w:val="af3"/>
            <w:noProof/>
          </w:rPr>
          <w:t>15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19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1" w:history="1">
        <w:r w:rsidR="00031766" w:rsidRPr="00081CA0">
          <w:rPr>
            <w:rStyle w:val="af3"/>
            <w:noProof/>
          </w:rPr>
          <w:t>16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 ХРАНЕНИИ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20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2" w:history="1">
        <w:r w:rsidR="00031766" w:rsidRPr="00081CA0">
          <w:rPr>
            <w:rStyle w:val="af3"/>
            <w:noProof/>
          </w:rPr>
          <w:t>17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РЕМОНТ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21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3" w:history="1">
        <w:r w:rsidR="00031766" w:rsidRPr="00081CA0">
          <w:rPr>
            <w:rStyle w:val="af3"/>
            <w:noProof/>
          </w:rPr>
          <w:t>18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ОСОБЫЕ ОТМЕТКИ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27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4" w:history="1">
        <w:r w:rsidR="00031766" w:rsidRPr="00081CA0">
          <w:rPr>
            <w:rStyle w:val="af3"/>
            <w:noProof/>
          </w:rPr>
          <w:t>19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ОБ УТИЛИЗАЦИИ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29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5" w:history="1">
        <w:r w:rsidR="00031766" w:rsidRPr="00081CA0">
          <w:rPr>
            <w:rStyle w:val="af3"/>
            <w:noProof/>
          </w:rPr>
          <w:t>20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КОНТРОЛЬ СОСТОЯНИЯ ИЗДЕЛИЯ И ВЕДЕНИЯ ФОРМУЛЯРА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30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6" w:history="1">
        <w:r w:rsidR="00031766" w:rsidRPr="00081CA0">
          <w:rPr>
            <w:rStyle w:val="af3"/>
            <w:noProof/>
          </w:rPr>
          <w:t>ПРИЛОЖЕНИЕ 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31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AB2CEA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7" w:history="1">
        <w:r w:rsidR="00031766" w:rsidRPr="00081CA0">
          <w:rPr>
            <w:rStyle w:val="af3"/>
            <w:noProof/>
          </w:rPr>
          <w:t>ПРИЛОЖЕНИЕ Б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A1C79">
          <w:rPr>
            <w:noProof/>
            <w:webHidden/>
          </w:rPr>
          <w:t>32</w:t>
        </w:r>
        <w:r w:rsidR="00031766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2" w:name="_Toc191972486"/>
      <w:r w:rsidRPr="00B66B7F">
        <w:lastRenderedPageBreak/>
        <w:t>ОБЩИЕ УКАЗАНИЯ</w:t>
      </w:r>
      <w:bookmarkEnd w:id="2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3" w:name="_Toc191972487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3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813E1B">
        <w:rPr>
          <w:u w:val="single"/>
        </w:rPr>
        <w:t>09 января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FC4080">
        <w:rPr>
          <w:bCs/>
          <w:u w:val="single"/>
        </w:rPr>
        <w:t>1524029990824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4" w:name="_Toc191972488"/>
      <w:r w:rsidRPr="00B66B7F">
        <w:t xml:space="preserve">ОСНОВНЫЕ </w:t>
      </w:r>
      <w:r w:rsidR="00514F89">
        <w:rPr>
          <w:lang w:val="ru-RU"/>
        </w:rPr>
        <w:t>МЕТРОЛОГИЧЕСКИЕ И ТЕХНИЧЕСКИЕ ХАРАКТЕРИСТИКИ</w:t>
      </w:r>
      <w:bookmarkEnd w:id="4"/>
    </w:p>
    <w:p w:rsidR="002922DD" w:rsidRDefault="002922DD" w:rsidP="009C3AD1">
      <w:pPr>
        <w:spacing w:before="60" w:after="60"/>
        <w:ind w:firstLine="709"/>
      </w:pPr>
      <w:r>
        <w:t xml:space="preserve">Т а б л и ц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>Т а б л и ц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female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female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атмосферное давление, мм рт. ст</w:t>
            </w:r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ц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5" w:name="_Toc191972489"/>
      <w:r w:rsidRPr="00B66B7F">
        <w:lastRenderedPageBreak/>
        <w:t>ИНДИВИДУАЛЬНЫЕ ОСОБЕННОСТИ ИЗДЕЛИЯ</w:t>
      </w:r>
      <w:bookmarkEnd w:id="5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6" w:name="_Toc191972490"/>
      <w:r w:rsidRPr="00B66B7F">
        <w:t>КОМПЛЕКТНОСТЬ</w:t>
      </w:r>
      <w:bookmarkEnd w:id="6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C4080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1524029990824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r w:rsidRPr="00017C65">
        <w:t>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7" w:name="_Toc191972491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C23F2F" wp14:editId="34FEA73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«СКАРД-Электроникс»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r w:rsidRPr="006C28E6">
          <w:rPr>
            <w:color w:val="0000FF"/>
            <w:spacing w:val="-4"/>
            <w:u w:val="single"/>
            <w:lang w:val="en-US"/>
          </w:rPr>
          <w:t>skard</w:t>
        </w:r>
        <w:r w:rsidRPr="006C28E6">
          <w:rPr>
            <w:color w:val="0000FF"/>
            <w:spacing w:val="-4"/>
            <w:u w:val="single"/>
          </w:rPr>
          <w:t>.</w:t>
        </w:r>
        <w:r w:rsidRPr="006C28E6">
          <w:rPr>
            <w:color w:val="0000FF"/>
            <w:spacing w:val="-4"/>
            <w:u w:val="single"/>
            <w:lang w:val="en-US"/>
          </w:rPr>
          <w:t>ru</w:t>
        </w:r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8" w:name="_Toc191972492"/>
      <w:r w:rsidRPr="00B66B7F">
        <w:lastRenderedPageBreak/>
        <w:t>КОНСЕРВАЦИЯ</w:t>
      </w:r>
      <w:bookmarkEnd w:id="8"/>
    </w:p>
    <w:p w:rsidR="006E66F6" w:rsidRDefault="006E66F6" w:rsidP="0055397C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>, расконсервация, переконсервация.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191972493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FC4080">
              <w:rPr>
                <w:bCs/>
                <w:sz w:val="22"/>
                <w:szCs w:val="22"/>
              </w:rPr>
              <w:t>1524029990824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91972494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FC4080">
              <w:rPr>
                <w:bCs/>
                <w:sz w:val="22"/>
                <w:szCs w:val="22"/>
              </w:rPr>
              <w:t>1524029990824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7D5560">
        <w:trPr>
          <w:jc w:val="center"/>
        </w:trPr>
        <w:tc>
          <w:tcPr>
            <w:tcW w:w="992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7D5560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91972495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>б л и ц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>л и ц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>Т а б л и ц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91972496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>Т а б л и ц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91972497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>Т а б л и ц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91972498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ц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91972499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>Т а б л и ц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</w:pPr>
      <w:bookmarkStart w:id="16" w:name="_Toc118895874"/>
      <w:bookmarkStart w:id="17" w:name="_Toc118971173"/>
      <w:bookmarkStart w:id="18" w:name="_Toc1919725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>а б л и ц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91972501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>Т а б л и ц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91972502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91972503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91972504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91972505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>Т а б л и ц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B11C6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91972506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2879A6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202AB1C0" wp14:editId="189C9D27">
            <wp:extent cx="9304020" cy="5044440"/>
            <wp:effectExtent l="0" t="0" r="1143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D75311" wp14:editId="769A6719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№1524029990824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№1524029990824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91972507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FC4080">
        <w:rPr>
          <w:color w:val="auto"/>
        </w:rPr>
        <w:t>1524029990824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23,5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24,2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24,9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27,7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28,1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28,6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30,0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30,9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31,7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32,5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33,1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33,8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34,0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35,6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36,2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35,8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35,9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36,8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37,5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37,8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38,3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39,1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39,6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40,3</w:t>
            </w:r>
          </w:p>
        </w:tc>
      </w:tr>
      <w:tr w:rsidR="002879A6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A6" w:rsidRDefault="002879A6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9A6" w:rsidRDefault="002879A6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9A6" w:rsidRDefault="002879A6">
            <w:pPr>
              <w:jc w:val="center"/>
            </w:pPr>
            <w:r>
              <w:t>43,1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297DFB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297DFB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EA" w:rsidRDefault="00AB2CEA">
      <w:r>
        <w:separator/>
      </w:r>
    </w:p>
  </w:endnote>
  <w:endnote w:type="continuationSeparator" w:id="0">
    <w:p w:rsidR="00AB2CEA" w:rsidRDefault="00AB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1C79">
      <w:rPr>
        <w:rStyle w:val="ab"/>
        <w:noProof/>
      </w:rPr>
      <w:t>3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A1C79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EA" w:rsidRDefault="00AB2CEA">
      <w:r>
        <w:separator/>
      </w:r>
    </w:p>
  </w:footnote>
  <w:footnote w:type="continuationSeparator" w:id="0">
    <w:p w:rsidR="00AB2CEA" w:rsidRDefault="00AB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106BE8" w:rsidRDefault="00B52DD7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176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8EA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560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3069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1C79"/>
    <w:rsid w:val="00AA52AF"/>
    <w:rsid w:val="00AB2400"/>
    <w:rsid w:val="00AB27FA"/>
    <w:rsid w:val="00AB2CE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C6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556A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24-2025%20&#1060;&#1086;&#1088;&#1084;&#1091;&#1083;&#1103;&#1088;&#1099;_&#1055;&#1072;&#1089;&#1087;&#1086;&#1088;&#1090;&#1072;\&#1040;&#1085;&#1090;&#1077;&#1085;&#1085;&#1099;_&#1060;&#1086;&#1088;&#1084;&#1091;&#1083;&#1103;&#1088;&#1099;\&#1055;6-123\40_1775_&#1055;6-123_1524029990824(825)_&#1054;&#1054;&#1054;%20&#1057;&#1077;&#1088;&#1085;&#1080;&#1103;%20&#1080;&#1085;&#1078;&#1077;&#1085;&#1077;&#1088;&#1080;&#1085;&#1075;\&#1043;&#1088;&#1072;&#1092;&#1080;&#1082;_1524029990824(825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'824'!$B$3:$B$27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'824'!$C$3:$C$27</c:f>
              <c:numCache>
                <c:formatCode>0.0</c:formatCode>
                <c:ptCount val="25"/>
                <c:pt idx="0">
                  <c:v>5.8</c:v>
                </c:pt>
                <c:pt idx="1">
                  <c:v>6</c:v>
                </c:pt>
                <c:pt idx="2">
                  <c:v>8.8000000000000007</c:v>
                </c:pt>
                <c:pt idx="3">
                  <c:v>8.5</c:v>
                </c:pt>
                <c:pt idx="4">
                  <c:v>10.1</c:v>
                </c:pt>
                <c:pt idx="5">
                  <c:v>11.2</c:v>
                </c:pt>
                <c:pt idx="6">
                  <c:v>11.1</c:v>
                </c:pt>
                <c:pt idx="7">
                  <c:v>11.4</c:v>
                </c:pt>
                <c:pt idx="8">
                  <c:v>11.6</c:v>
                </c:pt>
                <c:pt idx="9">
                  <c:v>11.7</c:v>
                </c:pt>
                <c:pt idx="10">
                  <c:v>11.9</c:v>
                </c:pt>
                <c:pt idx="11">
                  <c:v>12</c:v>
                </c:pt>
                <c:pt idx="12">
                  <c:v>12.5</c:v>
                </c:pt>
                <c:pt idx="13">
                  <c:v>11.5</c:v>
                </c:pt>
                <c:pt idx="14">
                  <c:v>11.5</c:v>
                </c:pt>
                <c:pt idx="15">
                  <c:v>12.5</c:v>
                </c:pt>
                <c:pt idx="16">
                  <c:v>12.9</c:v>
                </c:pt>
                <c:pt idx="17">
                  <c:v>12.5</c:v>
                </c:pt>
                <c:pt idx="18">
                  <c:v>12.3</c:v>
                </c:pt>
                <c:pt idx="19">
                  <c:v>12.4</c:v>
                </c:pt>
                <c:pt idx="20">
                  <c:v>12.3</c:v>
                </c:pt>
                <c:pt idx="21">
                  <c:v>12</c:v>
                </c:pt>
                <c:pt idx="22">
                  <c:v>11.8</c:v>
                </c:pt>
                <c:pt idx="23">
                  <c:v>11.5</c:v>
                </c:pt>
                <c:pt idx="24">
                  <c:v>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048896"/>
        <c:axId val="233049472"/>
      </c:scatterChart>
      <c:valAx>
        <c:axId val="233048896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049472"/>
        <c:crossesAt val="0"/>
        <c:crossBetween val="midCat"/>
        <c:majorUnit val="1"/>
        <c:minorUnit val="0.2"/>
      </c:valAx>
      <c:valAx>
        <c:axId val="233049472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04889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3FE2-5960-467C-AA1E-45F8C66A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32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21516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48</cp:revision>
  <cp:lastPrinted>2025-03-07T05:20:00Z</cp:lastPrinted>
  <dcterms:created xsi:type="dcterms:W3CDTF">2024-03-05T08:29:00Z</dcterms:created>
  <dcterms:modified xsi:type="dcterms:W3CDTF">2025-03-07T05:20:00Z</dcterms:modified>
</cp:coreProperties>
</file>