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167D6">
        <w:rPr>
          <w:b/>
          <w:sz w:val="32"/>
          <w:szCs w:val="32"/>
        </w:rPr>
        <w:t>1524032321081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EE9105" wp14:editId="2E3E70C4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C78E419" wp14:editId="34D3653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C56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167D6">
        <w:rPr>
          <w:u w:val="single"/>
        </w:rPr>
        <w:t>28</w:t>
      </w:r>
      <w:r w:rsidR="00844AA7">
        <w:rPr>
          <w:u w:val="single"/>
        </w:rPr>
        <w:t xml:space="preserve"> </w:t>
      </w:r>
      <w:r w:rsidR="006167D6">
        <w:rPr>
          <w:u w:val="single"/>
        </w:rPr>
        <w:t>октября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167D6">
        <w:rPr>
          <w:u w:val="single"/>
        </w:rPr>
        <w:t>1524032321081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B8F000" wp14:editId="67DBF2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E8D783" wp14:editId="2EA0B6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7B513" wp14:editId="196A96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5754D" wp14:editId="1D11DD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E3D01" wp14:editId="72F720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98B137" wp14:editId="35D33E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6167D6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1524032321081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39A5E9" wp14:editId="629EC5E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167D6">
              <w:rPr>
                <w:rFonts w:eastAsia="Calibri"/>
                <w:spacing w:val="-4"/>
              </w:rPr>
              <w:t>1524032321081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167D6">
              <w:rPr>
                <w:rFonts w:eastAsia="Calibri"/>
                <w:spacing w:val="-4"/>
              </w:rPr>
              <w:t>1524032321081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EE12D9" wp14:editId="1C55E9D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6167D6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18D40C" wp14:editId="498BB85C">
                <wp:simplePos x="0" y="0"/>
                <wp:positionH relativeFrom="column">
                  <wp:posOffset>3343910</wp:posOffset>
                </wp:positionH>
                <wp:positionV relativeFrom="paragraph">
                  <wp:posOffset>36830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П6-122 зав. 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6167D6">
                              <w:rPr>
                                <w:b/>
                                <w:bCs/>
                                <w:color w:val="000000"/>
                              </w:rPr>
                              <w:t>1524032321081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3pt;margin-top:2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/r6EF9wAAAAJ&#10;AQAADwAAAGRycy9kb3ducmV2LnhtbExPQU7DMBC8I/EHa5G4UScBrDbEqQoSqoTUQwsPcONtHIjX&#10;IXbb8Hu2J7jN7IxmZ6rl5HtxwjF2gTTkswwEUhNsR62Gj/fXuzmImAxZ0wdCDT8YYVlfX1WmtOFM&#10;WzztUis4hGJpNLiUhlLK2Dj0Js7CgMTaIYzeJKZjK+1ozhzue1lkmZLedMQfnBnwxWHztTt6Dfi8&#10;3i4+V9Ft5JjHfPOmFg/rb61vb6bVE4iEU/ozw6U+V4eaO+3DkWwUvYbHQim2MuAFFz0rFKM9H+4L&#10;kHUl/y+ofwEAAP//AwBQSwECLQAUAAYACAAAACEAtoM4kv4AAADhAQAAEwAAAAAAAAAAAAAAAAAA&#10;AAAAW0NvbnRlbnRfVHlwZXNdLnhtbFBLAQItABQABgAIAAAAIQA4/SH/1gAAAJQBAAALAAAAAAAA&#10;AAAAAAAAAC8BAABfcmVscy8ucmVsc1BLAQItABQABgAIAAAAIQBgpBBJrgIAAKcFAAAOAAAAAAAA&#10;AAAAAAAAAC4CAABkcnMvZTJvRG9jLnhtbFBLAQItABQABgAIAAAAIQD+voQX3AAAAAkBAAAPAAAA&#10;AAAAAAAAAAAAAAgFAABkcnMvZG93bnJldi54bWxQSwUGAAAAAAQABADzAAAAEQYAAAAA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П6-122 зав. 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6167D6">
                        <w:rPr>
                          <w:b/>
                          <w:bCs/>
                          <w:color w:val="000000"/>
                        </w:rPr>
                        <w:t>1524032321081</w:t>
                      </w:r>
                    </w:p>
                  </w:txbxContent>
                </v:textbox>
              </v:rect>
            </w:pict>
          </mc:Fallback>
        </mc:AlternateContent>
      </w:r>
      <w:r w:rsidR="004F124D" w:rsidRPr="009E162D"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6167D6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4C234F">
            <wp:extent cx="8506880" cy="45872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016" cy="458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6167D6">
        <w:rPr>
          <w:bCs/>
          <w:color w:val="000000"/>
        </w:rPr>
        <w:t>1524032321081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6167D6" w:rsidRDefault="006167D6">
            <w:pPr>
              <w:jc w:val="center"/>
            </w:pPr>
            <w:r>
              <w:t>13,1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14,9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15,9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8,8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17,0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19,7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21,2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21,8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23,4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23,0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24,0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24,4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26,4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26,2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26,6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26,8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28,0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29,5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29,1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31,3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30,8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bookmarkStart w:id="23" w:name="_GoBack"/>
            <w:bookmarkEnd w:id="23"/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30,3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30,5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31,4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32,0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32,3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33,7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4,9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34,6</w:t>
            </w:r>
          </w:p>
        </w:tc>
      </w:tr>
      <w:tr w:rsidR="006167D6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167D6" w:rsidRDefault="00616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167D6" w:rsidRDefault="006167D6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6167D6" w:rsidRDefault="006167D6">
            <w:pPr>
              <w:jc w:val="center"/>
            </w:pPr>
            <w:r>
              <w:t>34,4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61" w:rsidRDefault="00CC5661">
      <w:r>
        <w:separator/>
      </w:r>
    </w:p>
  </w:endnote>
  <w:endnote w:type="continuationSeparator" w:id="0">
    <w:p w:rsidR="00CC5661" w:rsidRDefault="00C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67D6">
      <w:rPr>
        <w:rStyle w:val="af1"/>
        <w:noProof/>
      </w:rPr>
      <w:t>32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61" w:rsidRDefault="00CC5661">
      <w:r>
        <w:separator/>
      </w:r>
    </w:p>
  </w:footnote>
  <w:footnote w:type="continuationSeparator" w:id="0">
    <w:p w:rsidR="00CC5661" w:rsidRDefault="00C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67D6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0CEC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017A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7671E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C5661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66A5-D637-49BF-A9D4-59F4C7E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2024-09-04T08:35:00Z</cp:lastPrinted>
  <dcterms:created xsi:type="dcterms:W3CDTF">2024-11-19T08:39:00Z</dcterms:created>
  <dcterms:modified xsi:type="dcterms:W3CDTF">2025-02-03T07:59:00Z</dcterms:modified>
</cp:coreProperties>
</file>