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118E9">
        <w:rPr>
          <w:b/>
          <w:sz w:val="32"/>
          <w:szCs w:val="32"/>
        </w:rPr>
        <w:t>1524162771234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13AB3" wp14:editId="62659BE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F19B8B7" wp14:editId="48D0243D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926DF8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5564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3D6DD9">
        <w:rPr>
          <w:u w:val="single"/>
        </w:rPr>
        <w:t>11 апреля</w:t>
      </w:r>
      <w:r w:rsidR="009A1406">
        <w:rPr>
          <w:u w:val="single"/>
        </w:rPr>
        <w:t xml:space="preserve"> 2025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118E9">
        <w:rPr>
          <w:u w:val="single"/>
        </w:rPr>
        <w:t>1524162771234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7F6B" wp14:editId="2BF926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D02B" wp14:editId="2120BC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E4F2" wp14:editId="3E1825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A512A" wp14:editId="6CB880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D8E2" wp14:editId="162C57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47ECA" wp14:editId="3350E8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FE5F6C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0118E9" w:rsidP="006548D8">
            <w:pPr>
              <w:spacing w:line="276" w:lineRule="auto"/>
              <w:jc w:val="center"/>
            </w:pPr>
            <w:r>
              <w:t>1524162771234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D010C" wp14:editId="3ADDEE5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118E9">
              <w:rPr>
                <w:spacing w:val="-4"/>
              </w:rPr>
              <w:t>1524162771234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118E9">
              <w:rPr>
                <w:spacing w:val="-4"/>
              </w:rPr>
              <w:t>1524162771234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89CC6E" wp14:editId="1874792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584A78" wp14:editId="212DC91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895079" wp14:editId="52E124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3778B3" wp14:editId="451E244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626294" wp14:editId="496C96B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DFBBBB" wp14:editId="5331E46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150E3A" wp14:editId="0ECF9EB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098011" wp14:editId="5D82E9F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575246" wp14:editId="6AFC06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DA6504" w:rsidP="007924AA">
      <w:pPr>
        <w:jc w:val="center"/>
      </w:pPr>
      <w:r>
        <w:rPr>
          <w:noProof/>
        </w:rPr>
        <w:drawing>
          <wp:inline distT="0" distB="0" distL="0" distR="0" wp14:anchorId="427F8AA4" wp14:editId="2E1C25B7">
            <wp:extent cx="9282023" cy="5149970"/>
            <wp:effectExtent l="0" t="0" r="1460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A7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C290B" wp14:editId="124F8342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0118E9">
                              <w:rPr>
                                <w:b/>
                                <w:bCs/>
                              </w:rPr>
                              <w:t>1524162771234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0118E9">
                        <w:rPr>
                          <w:b/>
                          <w:bCs/>
                        </w:rPr>
                        <w:t>1524162771234</w:t>
                      </w:r>
                    </w:p>
                  </w:txbxContent>
                </v:textbox>
              </v:rect>
            </w:pict>
          </mc:Fallback>
        </mc:AlternateContent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0118E9">
        <w:t>1524162771234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DA6504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15,7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-15,9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-10,2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-4,5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-3,8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-3,2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-1,4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-0,9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-0,3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1,3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504" w:rsidRDefault="00DA650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0,0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0,4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-0,6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-0,2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-0,6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-0,3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0,5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0,1</w:t>
            </w:r>
          </w:p>
        </w:tc>
      </w:tr>
      <w:tr w:rsidR="00DA650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04" w:rsidRDefault="00DA650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04" w:rsidRDefault="00DA6504">
            <w:pPr>
              <w:jc w:val="center"/>
            </w:pPr>
            <w:r>
              <w:t>-1,6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  <w:bookmarkStart w:id="30" w:name="_GoBack"/>
      <w:bookmarkEnd w:id="30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8B" w:rsidRDefault="0055648B" w:rsidP="0010361C">
      <w:r>
        <w:separator/>
      </w:r>
    </w:p>
  </w:endnote>
  <w:endnote w:type="continuationSeparator" w:id="0">
    <w:p w:rsidR="0055648B" w:rsidRDefault="0055648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18E9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A6504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A650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8B" w:rsidRDefault="0055648B" w:rsidP="0010361C">
      <w:r>
        <w:separator/>
      </w:r>
    </w:p>
  </w:footnote>
  <w:footnote w:type="continuationSeparator" w:id="0">
    <w:p w:rsidR="0055648B" w:rsidRDefault="0055648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18E9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1E77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D6DD9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5648B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D3B73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81D5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C5D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16F60"/>
    <w:rsid w:val="0092154F"/>
    <w:rsid w:val="009221DA"/>
    <w:rsid w:val="0092455B"/>
    <w:rsid w:val="00925DEB"/>
    <w:rsid w:val="00926DF8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A1406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1496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06DD"/>
    <w:rsid w:val="00A91EC9"/>
    <w:rsid w:val="00A96044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766B9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20C5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504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41823"/>
    <w:rsid w:val="00E50792"/>
    <w:rsid w:val="00E51782"/>
    <w:rsid w:val="00E51CE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E5F6C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'1234'!$A$5:$A$22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'1234'!$B$5:$B$22</c:f>
              <c:numCache>
                <c:formatCode>0.0</c:formatCode>
                <c:ptCount val="18"/>
                <c:pt idx="0">
                  <c:v>15.7</c:v>
                </c:pt>
                <c:pt idx="1">
                  <c:v>12.5</c:v>
                </c:pt>
                <c:pt idx="2">
                  <c:v>8.6999999999999993</c:v>
                </c:pt>
                <c:pt idx="3">
                  <c:v>9.6</c:v>
                </c:pt>
                <c:pt idx="4">
                  <c:v>10.3</c:v>
                </c:pt>
                <c:pt idx="5">
                  <c:v>9.6999999999999993</c:v>
                </c:pt>
                <c:pt idx="6">
                  <c:v>10.199999999999999</c:v>
                </c:pt>
                <c:pt idx="7">
                  <c:v>10.5</c:v>
                </c:pt>
                <c:pt idx="8">
                  <c:v>10.5</c:v>
                </c:pt>
                <c:pt idx="9">
                  <c:v>13.1</c:v>
                </c:pt>
                <c:pt idx="10">
                  <c:v>13.9</c:v>
                </c:pt>
                <c:pt idx="11">
                  <c:v>15.9</c:v>
                </c:pt>
                <c:pt idx="12">
                  <c:v>16.399999999999999</c:v>
                </c:pt>
                <c:pt idx="13">
                  <c:v>17.7</c:v>
                </c:pt>
                <c:pt idx="14">
                  <c:v>18.100000000000001</c:v>
                </c:pt>
                <c:pt idx="15">
                  <c:v>18</c:v>
                </c:pt>
                <c:pt idx="16">
                  <c:v>19.100000000000001</c:v>
                </c:pt>
                <c:pt idx="17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4756160"/>
        <c:axId val="344756736"/>
      </c:scatterChart>
      <c:valAx>
        <c:axId val="34475616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4756736"/>
        <c:crosses val="autoZero"/>
        <c:crossBetween val="midCat"/>
        <c:majorUnit val="20"/>
        <c:minorUnit val="5"/>
      </c:valAx>
      <c:valAx>
        <c:axId val="344756736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47561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FCF1-E206-424A-9024-BB6E5F70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2025-05-16T11:18:00Z</dcterms:created>
  <dcterms:modified xsi:type="dcterms:W3CDTF">2025-05-16T11:19:00Z</dcterms:modified>
</cp:coreProperties>
</file>