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350940">
        <w:rPr>
          <w:b/>
          <w:sz w:val="28"/>
          <w:szCs w:val="28"/>
        </w:rPr>
        <w:t>150524566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735C8" wp14:editId="22971080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860C5FC" wp14:editId="539812F6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AC2D6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A1B2D">
        <w:rPr>
          <w:u w:val="single"/>
        </w:rPr>
        <w:t>24 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350940">
        <w:rPr>
          <w:u w:val="single"/>
        </w:rPr>
        <w:t>150524566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7C544F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0A1B2D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37B5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D37B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350940" w:rsidP="003F77A6">
            <w:pPr>
              <w:jc w:val="center"/>
            </w:pPr>
            <w:r>
              <w:t>150524566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CA1B61" wp14:editId="418903D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350940">
              <w:rPr>
                <w:bCs/>
              </w:rPr>
              <w:t>150524566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350940">
              <w:rPr>
                <w:bCs/>
              </w:rPr>
              <w:t>150524566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A3C2D" wp14:editId="7273504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AB982" wp14:editId="7E0B9FA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44127227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860101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73800A52" wp14:editId="0FAF7B49">
            <wp:extent cx="9197340" cy="4899660"/>
            <wp:effectExtent l="0" t="0" r="2286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F85A9B" wp14:editId="38B8A1E2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0A1B2D" w:rsidRDefault="00DF3121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350940" w:rsidRPr="000A1B2D">
                              <w:rPr>
                                <w:bCs/>
                              </w:rPr>
                              <w:t>150524566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F3121" w:rsidRPr="000A1B2D" w:rsidRDefault="00DF3121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350940" w:rsidRPr="000A1B2D">
                        <w:rPr>
                          <w:bCs/>
                        </w:rPr>
                        <w:t>150524566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44127228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350940">
        <w:t>150524566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7,1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21,2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38,6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7,6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38,6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8,8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38,9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26,9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39,6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28,5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39,3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29,7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39,8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31,3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40,0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32,3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39,9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10,5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32,8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40,5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10,9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33,3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40,6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14,9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39,7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11,1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34,7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40,8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11,7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34,8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41,3</w:t>
            </w:r>
          </w:p>
        </w:tc>
      </w:tr>
      <w:tr w:rsidR="00860101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860101" w:rsidRDefault="00860101">
            <w:pPr>
              <w:jc w:val="center"/>
            </w:pPr>
            <w:r>
              <w:t>14,6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40,7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35,3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41,8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36,0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42,5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42,7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36,2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43,2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43,6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36,9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12,6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44,0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13,2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37,4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44,1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01" w:rsidRDefault="00860101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01" w:rsidRDefault="00860101">
            <w:pPr>
              <w:jc w:val="center"/>
            </w:pPr>
            <w:r>
              <w:t>37,8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44,7</w:t>
            </w:r>
          </w:p>
        </w:tc>
      </w:tr>
      <w:tr w:rsidR="00860101" w:rsidRPr="00ED7190" w:rsidTr="00127778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01" w:rsidRPr="00ED7190" w:rsidRDefault="00860101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01" w:rsidRDefault="00860101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0101" w:rsidRDefault="00860101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101" w:rsidRDefault="00860101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60101" w:rsidRDefault="00860101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860101" w:rsidRDefault="00860101">
            <w:pPr>
              <w:jc w:val="center"/>
            </w:pPr>
            <w:r>
              <w:t>44,9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  <w:bookmarkStart w:id="30" w:name="_GoBack"/>
      <w:bookmarkEnd w:id="30"/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66" w:rsidRDefault="00AC2D66">
      <w:r>
        <w:separator/>
      </w:r>
    </w:p>
  </w:endnote>
  <w:endnote w:type="continuationSeparator" w:id="0">
    <w:p w:rsidR="00AC2D66" w:rsidRDefault="00A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0101">
      <w:rPr>
        <w:rStyle w:val="a6"/>
        <w:noProof/>
      </w:rPr>
      <w:t>34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01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66" w:rsidRDefault="00AC2D66">
      <w:r>
        <w:separator/>
      </w:r>
    </w:p>
  </w:footnote>
  <w:footnote w:type="continuationSeparator" w:id="0">
    <w:p w:rsidR="00AC2D66" w:rsidRDefault="00AC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2390"/>
    <w:rsid w:val="00C36B59"/>
    <w:rsid w:val="00C400A1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036B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461_&#1055;6-223&#1052;_150524566_&#1040;&#1054;%20&#1052;&#1042;&#1055;%20&#1057;&#1042;&#1045;&#1052;&#1045;&#1051;\&#1055;6-223&#1052;_1505245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0.0</c:formatCode>
                <c:ptCount val="45"/>
                <c:pt idx="0">
                  <c:v>7.1</c:v>
                </c:pt>
                <c:pt idx="1">
                  <c:v>7.6</c:v>
                </c:pt>
                <c:pt idx="2">
                  <c:v>8.8000000000000007</c:v>
                </c:pt>
                <c:pt idx="3">
                  <c:v>9.3000000000000007</c:v>
                </c:pt>
                <c:pt idx="4">
                  <c:v>9.6999999999999993</c:v>
                </c:pt>
                <c:pt idx="5">
                  <c:v>10.1</c:v>
                </c:pt>
                <c:pt idx="6">
                  <c:v>9.8000000000000007</c:v>
                </c:pt>
                <c:pt idx="7">
                  <c:v>10</c:v>
                </c:pt>
                <c:pt idx="8">
                  <c:v>10.5</c:v>
                </c:pt>
                <c:pt idx="9">
                  <c:v>10.9</c:v>
                </c:pt>
                <c:pt idx="10">
                  <c:v>10.6</c:v>
                </c:pt>
                <c:pt idx="11">
                  <c:v>11.1</c:v>
                </c:pt>
                <c:pt idx="12">
                  <c:v>11.7</c:v>
                </c:pt>
                <c:pt idx="13">
                  <c:v>12.2</c:v>
                </c:pt>
                <c:pt idx="14">
                  <c:v>12.4</c:v>
                </c:pt>
                <c:pt idx="15">
                  <c:v>12.3</c:v>
                </c:pt>
                <c:pt idx="16">
                  <c:v>13.1</c:v>
                </c:pt>
                <c:pt idx="17">
                  <c:v>13.1</c:v>
                </c:pt>
                <c:pt idx="18">
                  <c:v>13.2</c:v>
                </c:pt>
                <c:pt idx="19">
                  <c:v>13.3</c:v>
                </c:pt>
                <c:pt idx="20">
                  <c:v>13.2</c:v>
                </c:pt>
                <c:pt idx="21">
                  <c:v>13.3</c:v>
                </c:pt>
                <c:pt idx="22">
                  <c:v>12.8</c:v>
                </c:pt>
                <c:pt idx="23">
                  <c:v>13.2</c:v>
                </c:pt>
                <c:pt idx="24">
                  <c:v>13.3</c:v>
                </c:pt>
                <c:pt idx="25">
                  <c:v>12.9</c:v>
                </c:pt>
                <c:pt idx="26">
                  <c:v>13.5</c:v>
                </c:pt>
                <c:pt idx="27">
                  <c:v>13.3</c:v>
                </c:pt>
                <c:pt idx="28">
                  <c:v>13.5</c:v>
                </c:pt>
                <c:pt idx="29">
                  <c:v>13.8</c:v>
                </c:pt>
                <c:pt idx="30">
                  <c:v>13.5</c:v>
                </c:pt>
                <c:pt idx="31">
                  <c:v>13.7</c:v>
                </c:pt>
                <c:pt idx="32">
                  <c:v>14.9</c:v>
                </c:pt>
                <c:pt idx="33">
                  <c:v>14</c:v>
                </c:pt>
                <c:pt idx="34">
                  <c:v>13.8</c:v>
                </c:pt>
                <c:pt idx="35">
                  <c:v>14.6</c:v>
                </c:pt>
                <c:pt idx="36">
                  <c:v>13.8</c:v>
                </c:pt>
                <c:pt idx="37">
                  <c:v>13.26</c:v>
                </c:pt>
                <c:pt idx="38">
                  <c:v>13.3</c:v>
                </c:pt>
                <c:pt idx="39">
                  <c:v>13.010000000000002</c:v>
                </c:pt>
                <c:pt idx="40">
                  <c:v>12.899999999999999</c:v>
                </c:pt>
                <c:pt idx="41">
                  <c:v>12.64</c:v>
                </c:pt>
                <c:pt idx="42">
                  <c:v>12.8</c:v>
                </c:pt>
                <c:pt idx="43">
                  <c:v>12.41</c:v>
                </c:pt>
                <c:pt idx="44">
                  <c:v>12.4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991936"/>
        <c:axId val="269992512"/>
      </c:scatterChart>
      <c:valAx>
        <c:axId val="269991936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992512"/>
        <c:crossesAt val="0"/>
        <c:crossBetween val="midCat"/>
        <c:majorUnit val="1"/>
        <c:minorUnit val="0.25"/>
      </c:valAx>
      <c:valAx>
        <c:axId val="269992512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9919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05C5-2539-4CE2-8AA6-3E5EF93F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36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58</cp:revision>
  <cp:lastPrinted>2024-03-28T06:19:00Z</cp:lastPrinted>
  <dcterms:created xsi:type="dcterms:W3CDTF">2021-11-09T10:22:00Z</dcterms:created>
  <dcterms:modified xsi:type="dcterms:W3CDTF">2024-06-06T07:25:00Z</dcterms:modified>
</cp:coreProperties>
</file>