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D3BD5">
        <w:rPr>
          <w:b/>
          <w:sz w:val="32"/>
          <w:szCs w:val="32"/>
        </w:rPr>
        <w:t>151023116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41658" wp14:editId="5129FD04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</w:p>
                          <w:p w:rsidR="00A07D07" w:rsidRPr="00BA7D77" w:rsidRDefault="00A07D07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07D07" w:rsidRPr="007A2685" w:rsidRDefault="00A07D07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A07D07" w:rsidRDefault="00A07D07" w:rsidP="00A07D0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07D07" w:rsidRDefault="00A07D07" w:rsidP="00A07D07">
                      <w:pPr>
                        <w:ind w:firstLine="567"/>
                        <w:jc w:val="both"/>
                      </w:pPr>
                    </w:p>
                    <w:p w:rsidR="00A07D07" w:rsidRPr="00BA7D77" w:rsidRDefault="00A07D07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07D07" w:rsidRPr="007A2685" w:rsidRDefault="00A07D07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2DC747E" wp14:editId="6E6DF125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8D7059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1" w:history="1">
        <w:r w:rsidR="008D7059" w:rsidRPr="00AA26BD">
          <w:rPr>
            <w:rStyle w:val="af3"/>
            <w:noProof/>
          </w:rPr>
          <w:t>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ОБЩИЕ УКАЗАНИЯ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2" w:history="1">
        <w:r w:rsidR="008D7059" w:rsidRPr="00AA26BD">
          <w:rPr>
            <w:rStyle w:val="af3"/>
            <w:noProof/>
          </w:rPr>
          <w:t>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СВЕДЕНИЯ ОБ ИЗДЕЛИИ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3" w:history="1">
        <w:r w:rsidR="008D7059" w:rsidRPr="00AA26BD">
          <w:rPr>
            <w:rStyle w:val="af3"/>
            <w:noProof/>
          </w:rPr>
          <w:t>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ТЕХНИЧЕСКИЕ ДАННЫЕ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4" w:history="1">
        <w:r w:rsidR="008D7059" w:rsidRPr="00AA26BD">
          <w:rPr>
            <w:rStyle w:val="af3"/>
            <w:noProof/>
          </w:rPr>
          <w:t>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ИНДИВИДУАЛЬНЫЕ ОСОБЕННОСТИ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5" w:history="1">
        <w:r w:rsidR="008D7059" w:rsidRPr="00AA26BD">
          <w:rPr>
            <w:rStyle w:val="af3"/>
            <w:noProof/>
          </w:rPr>
          <w:t>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КОМПЛЕКТНОСТЬ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6" w:history="1">
        <w:r w:rsidR="008D7059" w:rsidRPr="00AA26BD">
          <w:rPr>
            <w:rStyle w:val="af3"/>
            <w:noProof/>
          </w:rPr>
          <w:t>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РЕСУРСЫ, СРОКИ СЛУЖБЫ И ХРАНЕНИЯ. ГАРАНТИИ ИЗГОТОВИТЕЛЯ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7" w:history="1">
        <w:r w:rsidR="008D7059" w:rsidRPr="00AA26BD">
          <w:rPr>
            <w:rStyle w:val="af3"/>
            <w:noProof/>
          </w:rPr>
          <w:t>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КОНСЕРВАЦИЯ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8" w:history="1">
        <w:r w:rsidR="008D7059" w:rsidRPr="00AA26BD">
          <w:rPr>
            <w:rStyle w:val="af3"/>
            <w:noProof/>
          </w:rPr>
          <w:t>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ОБ УПАКОВЫВАНИИ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9" w:history="1">
        <w:r w:rsidR="008D7059" w:rsidRPr="00AA26BD">
          <w:rPr>
            <w:rStyle w:val="af3"/>
            <w:noProof/>
          </w:rPr>
          <w:t>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 ПРИЕМКЕ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0" w:history="1">
        <w:r w:rsidR="008D7059" w:rsidRPr="00AA26BD">
          <w:rPr>
            <w:rStyle w:val="af3"/>
            <w:noProof/>
          </w:rPr>
          <w:t>10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ДВИЖЕНИЕ ИЗДЕЛИЯ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1" w:history="1">
        <w:r w:rsidR="008D7059" w:rsidRPr="00AA26BD">
          <w:rPr>
            <w:rStyle w:val="af3"/>
            <w:noProof/>
          </w:rPr>
          <w:t>11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2" w:history="1">
        <w:r w:rsidR="008D7059" w:rsidRPr="00AA26BD">
          <w:rPr>
            <w:rStyle w:val="af3"/>
            <w:noProof/>
          </w:rPr>
          <w:t>12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ТЕХНИЧЕСКОГО ОБСЛУЖИВАНИЯ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3" w:history="1">
        <w:r w:rsidR="008D7059" w:rsidRPr="00AA26BD">
          <w:rPr>
            <w:rStyle w:val="af3"/>
            <w:noProof/>
          </w:rPr>
          <w:t>13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ПО БЮЛЛЕТЕНЯМ И УКАЗАНИЯМ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4" w:history="1">
        <w:r w:rsidR="008D7059" w:rsidRPr="00AA26BD">
          <w:rPr>
            <w:rStyle w:val="af3"/>
            <w:noProof/>
          </w:rPr>
          <w:t>14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РАБОТЫ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5" w:history="1">
        <w:r w:rsidR="008D7059" w:rsidRPr="00AA26BD">
          <w:rPr>
            <w:rStyle w:val="af3"/>
            <w:noProof/>
          </w:rPr>
          <w:t>15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6" w:history="1">
        <w:r w:rsidR="008D7059" w:rsidRPr="00AA26BD">
          <w:rPr>
            <w:rStyle w:val="af3"/>
            <w:noProof/>
          </w:rPr>
          <w:t>16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 ХРАНЕНИИ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7" w:history="1">
        <w:r w:rsidR="008D7059" w:rsidRPr="00AA26BD">
          <w:rPr>
            <w:rStyle w:val="af3"/>
            <w:noProof/>
          </w:rPr>
          <w:t>17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РЕМОНТ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8" w:history="1">
        <w:r w:rsidR="008D7059" w:rsidRPr="00AA26BD">
          <w:rPr>
            <w:rStyle w:val="af3"/>
            <w:noProof/>
          </w:rPr>
          <w:t>18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ОСОБЫЕ ОТМЕТКИ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9" w:history="1">
        <w:r w:rsidR="008D7059" w:rsidRPr="00AA26BD">
          <w:rPr>
            <w:rStyle w:val="af3"/>
            <w:noProof/>
          </w:rPr>
          <w:t>19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ОБ УТИЛИЗАЦИИ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0" w:history="1">
        <w:r w:rsidR="008D7059" w:rsidRPr="00AA26BD">
          <w:rPr>
            <w:rStyle w:val="af3"/>
            <w:noProof/>
          </w:rPr>
          <w:t>20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КОНТРОЛЬ СОСТОЯНИЯ ИЗДЕЛИЯ И ВЕДЕНИЯ ФОРМУЛЯРА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1" w:history="1">
        <w:r w:rsidR="008D7059" w:rsidRPr="00AA26BD">
          <w:rPr>
            <w:rStyle w:val="af3"/>
            <w:noProof/>
          </w:rPr>
          <w:t>ПРИЛОЖЕНИЕ 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1599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2" w:history="1">
        <w:r w:rsidR="008D7059" w:rsidRPr="00AA26BD">
          <w:rPr>
            <w:rStyle w:val="af3"/>
            <w:noProof/>
          </w:rPr>
          <w:t>ПРИЛОЖЕНИЕ Б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33</w:t>
        </w:r>
        <w:r w:rsidR="008D7059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35052821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3B6703">
        <w:t xml:space="preserve"> (далее – антенны)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35052822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046BFB">
        <w:t xml:space="preserve">КНПР.464641.028 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445721">
        <w:rPr>
          <w:u w:val="single"/>
        </w:rPr>
        <w:t>22 января</w:t>
      </w:r>
      <w:r w:rsidR="007D15F3">
        <w:rPr>
          <w:u w:val="single"/>
        </w:rPr>
        <w:t xml:space="preserve"> 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3D3BD5">
        <w:rPr>
          <w:u w:val="single"/>
        </w:rPr>
        <w:t>151023116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35052823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68"/>
      </w:tblGrid>
      <w:tr w:rsidR="0031296B" w:rsidRPr="00273CC0" w:rsidTr="0031296B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73CC0" w:rsidRDefault="0031296B" w:rsidP="00D13F11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73CC0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большим, МГц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КСВН входа с диполем большим не более: </w:t>
            </w:r>
          </w:p>
          <w:p w:rsidR="0031296B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  <w:r w:rsidRPr="00F76CF9">
              <w:t>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2</w:t>
            </w:r>
            <w:r>
              <w:t>2</w:t>
            </w:r>
            <w:r w:rsidRPr="00BF66E0">
              <w:t>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EB4FAF" w:rsidP="00D13F11">
            <w:pPr>
              <w:shd w:val="clear" w:color="auto" w:fill="FFFFFF"/>
              <w:jc w:val="center"/>
            </w:pPr>
            <w:r>
              <w:t>35,0</w:t>
            </w:r>
            <w:bookmarkStart w:id="4" w:name="_GoBack"/>
            <w:bookmarkEnd w:id="4"/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</w:t>
            </w:r>
            <w:r w:rsidR="004807B4">
              <w:rPr>
                <w:color w:val="000000"/>
                <w:spacing w:val="8"/>
              </w:rPr>
              <w:t xml:space="preserve">измерения </w:t>
            </w:r>
            <w:r w:rsidRPr="00F76CF9">
              <w:rPr>
                <w:color w:val="000000"/>
                <w:spacing w:val="8"/>
              </w:rPr>
              <w:t xml:space="preserve">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31296B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большие диполи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31296B" w:rsidRPr="00F76CF9" w:rsidRDefault="0031296B" w:rsidP="00D13F11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31296B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большие диполи</w:t>
            </w:r>
          </w:p>
          <w:p w:rsidR="0031296B" w:rsidRPr="00F76CF9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31296B" w:rsidRPr="008B5DF8" w:rsidRDefault="0031296B" w:rsidP="00D13F11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</w:tbl>
    <w:p w:rsidR="00731659" w:rsidRPr="00CA2225" w:rsidRDefault="00731659" w:rsidP="00731659">
      <w:pPr>
        <w:pStyle w:val="af4"/>
        <w:numPr>
          <w:ilvl w:val="1"/>
          <w:numId w:val="3"/>
        </w:numPr>
        <w:ind w:left="0" w:firstLine="709"/>
        <w:jc w:val="both"/>
      </w:pPr>
      <w:r w:rsidRPr="00CA2225">
        <w:lastRenderedPageBreak/>
        <w:t>Рабочие условия применения: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температура окружающей среды, °С …………..……… </w:t>
      </w:r>
      <w:proofErr w:type="gramStart"/>
      <w:r w:rsidRPr="00CA2225">
        <w:t>от</w:t>
      </w:r>
      <w:proofErr w:type="gramEnd"/>
      <w:r w:rsidRPr="00CA2225">
        <w:t xml:space="preserve"> минус </w:t>
      </w:r>
      <w:r>
        <w:t>4</w:t>
      </w:r>
      <w:r w:rsidRPr="00CA2225">
        <w:t xml:space="preserve">0 до плюс </w:t>
      </w:r>
      <w:r>
        <w:t>5</w:t>
      </w:r>
      <w:r w:rsidRPr="00CA2225">
        <w:t>0;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>относительная влажность  воздуха .……. не более 9</w:t>
      </w:r>
      <w:r>
        <w:t>8</w:t>
      </w:r>
      <w:r w:rsidRPr="00CA2225">
        <w:t xml:space="preserve"> % при температуре 35</w:t>
      </w:r>
      <w:proofErr w:type="gramStart"/>
      <w:r w:rsidRPr="00CA2225">
        <w:t xml:space="preserve"> °С</w:t>
      </w:r>
      <w:proofErr w:type="gramEnd"/>
      <w:r w:rsidRPr="00CA2225">
        <w:t>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атмосферное давление, мм рт. </w:t>
      </w:r>
      <w:proofErr w:type="spellStart"/>
      <w:r w:rsidRPr="00CA2225">
        <w:t>ст</w:t>
      </w:r>
      <w:proofErr w:type="spellEnd"/>
      <w:proofErr w:type="gramStart"/>
      <w:r w:rsidRPr="00CA2225">
        <w:t xml:space="preserve"> .</w:t>
      </w:r>
      <w:proofErr w:type="gramEnd"/>
      <w:r w:rsidRPr="00CA2225">
        <w:t xml:space="preserve">……………..…………………… от </w:t>
      </w:r>
      <w:r>
        <w:t>630</w:t>
      </w:r>
      <w:r w:rsidRPr="00CA2225">
        <w:t xml:space="preserve"> до 800.</w:t>
      </w: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61472" wp14:editId="58DB2B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4E379" wp14:editId="0137971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B0F43" wp14:editId="59755DF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3F115" wp14:editId="5A64664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3AB38" wp14:editId="7FBC7A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1F288" wp14:editId="378236A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135052824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35052825"/>
      <w:r>
        <w:t>КОМПЛЕКТНОСТЬ</w:t>
      </w:r>
      <w:bookmarkEnd w:id="6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1296B">
        <w:t>–</w:t>
      </w:r>
      <w: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3D3BD5" w:rsidP="00D13F11">
            <w:pPr>
              <w:jc w:val="center"/>
            </w:pPr>
            <w:r>
              <w:t>151023116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Руководство по эксплуатации*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КНПР.464641.028РЭ</w:t>
            </w:r>
            <w:r w:rsidRPr="004807B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8507" w:type="dxa"/>
            <w:gridSpan w:val="4"/>
          </w:tcPr>
          <w:p w:rsidR="0031296B" w:rsidRPr="004807B4" w:rsidRDefault="0031296B" w:rsidP="00D13F11">
            <w:pPr>
              <w:jc w:val="center"/>
              <w:rPr>
                <w:b/>
              </w:rPr>
            </w:pPr>
            <w:r w:rsidRPr="004807B4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Pr="004807B4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pPr>
              <w:rPr>
                <w:bCs/>
              </w:rPr>
            </w:pPr>
            <w:r w:rsidRPr="004807B4"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4807B4" w:rsidRDefault="0031296B" w:rsidP="00D13F11">
            <w:pPr>
              <w:jc w:val="center"/>
            </w:pPr>
            <w:r w:rsidRPr="004807B4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A07D07">
      <w:pPr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10361C" w:rsidRDefault="0010361C" w:rsidP="00E50792">
      <w:pPr>
        <w:pStyle w:val="1"/>
      </w:pPr>
      <w:bookmarkStart w:id="7" w:name="_Toc135052826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89196" wp14:editId="36B5CEF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</w:t>
      </w:r>
      <w:proofErr w:type="spellStart"/>
      <w:r w:rsidRPr="00530BDD">
        <w:rPr>
          <w:iCs/>
        </w:rPr>
        <w:t>Электроникс</w:t>
      </w:r>
      <w:proofErr w:type="spellEnd"/>
      <w:r w:rsidRPr="00530BDD">
        <w:rPr>
          <w:iCs/>
        </w:rPr>
        <w:t>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35052827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35052828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D3BD5">
              <w:rPr>
                <w:spacing w:val="-4"/>
              </w:rPr>
              <w:t>151023116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35052829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D3BD5">
              <w:rPr>
                <w:spacing w:val="-4"/>
              </w:rPr>
              <w:t>151023116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1" w:name="_Toc135052830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323442" wp14:editId="760B9D5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9F285C" wp14:editId="12DC15A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38A043" wp14:editId="3768DAF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A53183" wp14:editId="78694B2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73F0F9" wp14:editId="4CF0857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35052831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35052832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35052833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5" w:name="_Toc135052834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6" w:name="_Toc118895874"/>
      <w:bookmarkStart w:id="17" w:name="_Toc118971173"/>
      <w:bookmarkStart w:id="18" w:name="_Toc131674735"/>
      <w:bookmarkStart w:id="19" w:name="_Toc135052835"/>
      <w:r w:rsidRPr="000137A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12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23C9CDD" wp14:editId="2A5AAF7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093DC4" wp14:editId="21937F7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8EBED8" wp14:editId="293C358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DEDD82" wp14:editId="51E466B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4807B4" w:rsidRPr="00515591" w:rsidRDefault="004807B4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4807B4" w:rsidRPr="00515591" w:rsidRDefault="004807B4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20" w:name="_Toc135052836"/>
      <w:r w:rsidRPr="000137A5">
        <w:lastRenderedPageBreak/>
        <w:t>СВЕДЕНИЯ О ХРАНЕНИИ</w:t>
      </w:r>
      <w:bookmarkEnd w:id="20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1" w:name="_Toc135052837"/>
      <w:r>
        <w:lastRenderedPageBreak/>
        <w:t>РЕМОНТ</w:t>
      </w:r>
      <w:bookmarkEnd w:id="21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2" w:name="_Toc135052838"/>
      <w:r>
        <w:lastRenderedPageBreak/>
        <w:t>ОСОБЫЕ ОТМЕТКИ</w:t>
      </w:r>
      <w:bookmarkEnd w:id="22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3" w:name="_Toc135052839"/>
      <w:r>
        <w:lastRenderedPageBreak/>
        <w:t>СВЕДЕНИЯ ОБ УТИЛИЗАЦИИ</w:t>
      </w:r>
      <w:bookmarkEnd w:id="23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4" w:name="_Toc135052840"/>
      <w:r>
        <w:lastRenderedPageBreak/>
        <w:t>КОНТРОЛЬ СОСТОЯНИЯ ИЗДЕЛИЯ И ВЕДЕНИЯ ФОРМУЛЯРА</w:t>
      </w:r>
      <w:bookmarkEnd w:id="24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5" w:name="_Toc135052841"/>
      <w:r>
        <w:lastRenderedPageBreak/>
        <w:t>ПРИЛОЖЕНИЕ А</w:t>
      </w:r>
      <w:bookmarkEnd w:id="25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030CB2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4836B" wp14:editId="59728805">
                <wp:simplePos x="0" y="0"/>
                <wp:positionH relativeFrom="column">
                  <wp:posOffset>1281315</wp:posOffset>
                </wp:positionH>
                <wp:positionV relativeFrom="paragraph">
                  <wp:posOffset>397394</wp:posOffset>
                </wp:positionV>
                <wp:extent cx="6719455" cy="270510"/>
                <wp:effectExtent l="0" t="0" r="5715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4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3D3BD5">
                              <w:rPr>
                                <w:bCs/>
                              </w:rPr>
                              <w:t>151023116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 w:rsidR="009A053D"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00.9pt;margin-top:31.3pt;width:529.1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2nsw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" filled="f" stroked="f">
                <v:textbox inset="0,0,0,0">
                  <w:txbxContent>
                    <w:p w:rsidR="00530BDD" w:rsidRPr="002D76C5" w:rsidRDefault="00530BDD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3D3BD5">
                        <w:rPr>
                          <w:bCs/>
                        </w:rPr>
                        <w:t>151023116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 w:rsidR="009A053D"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 w:rsidR="009A053D">
        <w:rPr>
          <w:noProof/>
        </w:rPr>
        <w:drawing>
          <wp:inline distT="0" distB="0" distL="0" distR="0" wp14:anchorId="19D91417" wp14:editId="37E47BE4">
            <wp:extent cx="9213273" cy="5043055"/>
            <wp:effectExtent l="0" t="0" r="2603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1901" w:rsidRDefault="00030CB2" w:rsidP="007924A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1A2E2" wp14:editId="498295C3">
                <wp:simplePos x="0" y="0"/>
                <wp:positionH relativeFrom="column">
                  <wp:posOffset>1060219</wp:posOffset>
                </wp:positionH>
                <wp:positionV relativeFrom="paragraph">
                  <wp:posOffset>228715</wp:posOffset>
                </wp:positionV>
                <wp:extent cx="6608618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61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3D3BD5">
                              <w:rPr>
                                <w:bCs/>
                              </w:rPr>
                              <w:t>151023116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 w:rsidR="009A053D"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left:0;text-align:left;margin-left:83.5pt;margin-top:18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" filled="f" stroked="f">
                <v:textbox inset="0,0,0,0">
                  <w:txbxContent>
                    <w:p w:rsidR="00530BDD" w:rsidRPr="002D76C5" w:rsidRDefault="00530BDD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3D3BD5">
                        <w:rPr>
                          <w:bCs/>
                        </w:rPr>
                        <w:t>151023116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 w:rsidR="009A053D"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 w:rsidR="009A053D">
        <w:rPr>
          <w:noProof/>
        </w:rPr>
        <w:drawing>
          <wp:inline distT="0" distB="0" distL="0" distR="0" wp14:anchorId="31B835A1" wp14:editId="02EE2886">
            <wp:extent cx="9185564" cy="5576455"/>
            <wp:effectExtent l="0" t="0" r="15875" b="247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6" w:name="_Toc84851852"/>
      <w:bookmarkStart w:id="27" w:name="_Toc135052842"/>
      <w:r>
        <w:lastRenderedPageBreak/>
        <w:t>ПРИЛОЖЕНИЕ Б</w:t>
      </w:r>
      <w:bookmarkEnd w:id="26"/>
      <w:bookmarkEnd w:id="27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3D3BD5">
        <w:t>151023116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9A053D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D7059" w:rsidRPr="005A5AB8" w:rsidRDefault="008D7059" w:rsidP="009A053D">
            <w:pPr>
              <w:jc w:val="center"/>
            </w:pPr>
            <w:r>
              <w:t>Малые диполи</w:t>
            </w:r>
          </w:p>
        </w:tc>
      </w:tr>
      <w:tr w:rsidR="008D7059" w:rsidRPr="002D76C5" w:rsidTr="009A053D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50,0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90,0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140,0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160,0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220,0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9A053D" w:rsidRDefault="009A053D" w:rsidP="009A053D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9A053D" w:rsidRDefault="009A053D" w:rsidP="009A05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053D" w:rsidRDefault="009A053D" w:rsidP="009A053D">
            <w:pPr>
              <w:jc w:val="center"/>
            </w:pP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280,0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A053D" w:rsidRDefault="009A053D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53D" w:rsidRDefault="009A053D" w:rsidP="009A053D">
            <w:pPr>
              <w:jc w:val="center"/>
            </w:pPr>
          </w:p>
        </w:tc>
      </w:tr>
      <w:tr w:rsidR="009A053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053D" w:rsidRDefault="009A053D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053D" w:rsidRDefault="009A053D" w:rsidP="009A0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A053D" w:rsidRDefault="009A053D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53D" w:rsidRDefault="009A053D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341"/>
        <w:gridCol w:w="1258"/>
        <w:gridCol w:w="341"/>
        <w:gridCol w:w="1741"/>
      </w:tblGrid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A07D0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030CB2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030CB2">
        <w:trPr>
          <w:trHeight w:val="305"/>
          <w:jc w:val="center"/>
        </w:trPr>
        <w:tc>
          <w:tcPr>
            <w:tcW w:w="4973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9D" w:rsidRDefault="00B1599D" w:rsidP="0010361C">
      <w:r>
        <w:separator/>
      </w:r>
    </w:p>
  </w:endnote>
  <w:endnote w:type="continuationSeparator" w:id="0">
    <w:p w:rsidR="00B1599D" w:rsidRDefault="00B1599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30BDD" w:rsidRDefault="00530BDD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B4FAF">
      <w:rPr>
        <w:rStyle w:val="af2"/>
        <w:noProof/>
      </w:rPr>
      <w:t>4</w:t>
    </w:r>
    <w:r>
      <w:rPr>
        <w:rStyle w:val="af2"/>
      </w:rPr>
      <w:fldChar w:fldCharType="end"/>
    </w:r>
  </w:p>
  <w:p w:rsidR="00530BDD" w:rsidRDefault="00530BDD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Pr="002A31D5" w:rsidRDefault="00530BDD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EB4FAF">
      <w:rPr>
        <w:noProof/>
      </w:rPr>
      <w:t>32</w:t>
    </w:r>
    <w:r w:rsidRPr="002A31D5">
      <w:fldChar w:fldCharType="end"/>
    </w:r>
  </w:p>
  <w:p w:rsidR="00530BDD" w:rsidRDefault="00530BD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B4FAF">
      <w:rPr>
        <w:rStyle w:val="af2"/>
        <w:noProof/>
      </w:rPr>
      <w:t>33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9D" w:rsidRDefault="00B1599D" w:rsidP="0010361C">
      <w:r>
        <w:separator/>
      </w:r>
    </w:p>
  </w:footnote>
  <w:footnote w:type="continuationSeparator" w:id="0">
    <w:p w:rsidR="00B1599D" w:rsidRDefault="00B1599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6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4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8"/>
  </w:num>
  <w:num w:numId="3">
    <w:abstractNumId w:val="37"/>
  </w:num>
  <w:num w:numId="4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3"/>
  </w:num>
  <w:num w:numId="11">
    <w:abstractNumId w:val="19"/>
  </w:num>
  <w:num w:numId="12">
    <w:abstractNumId w:val="36"/>
  </w:num>
  <w:num w:numId="13">
    <w:abstractNumId w:val="29"/>
  </w:num>
  <w:num w:numId="14">
    <w:abstractNumId w:val="26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1"/>
  </w:num>
  <w:num w:numId="26">
    <w:abstractNumId w:val="33"/>
  </w:num>
  <w:num w:numId="27">
    <w:abstractNumId w:val="20"/>
  </w:num>
  <w:num w:numId="28">
    <w:abstractNumId w:val="10"/>
  </w:num>
  <w:num w:numId="29">
    <w:abstractNumId w:val="25"/>
  </w:num>
  <w:num w:numId="30">
    <w:abstractNumId w:val="11"/>
  </w:num>
  <w:num w:numId="31">
    <w:abstractNumId w:val="34"/>
  </w:num>
  <w:num w:numId="32">
    <w:abstractNumId w:val="32"/>
  </w:num>
  <w:num w:numId="33">
    <w:abstractNumId w:val="27"/>
  </w:num>
  <w:num w:numId="34">
    <w:abstractNumId w:val="30"/>
  </w:num>
  <w:num w:numId="35">
    <w:abstractNumId w:val="16"/>
  </w:num>
  <w:num w:numId="36">
    <w:abstractNumId w:val="31"/>
  </w:num>
  <w:num w:numId="37">
    <w:abstractNumId w:val="28"/>
  </w:num>
  <w:num w:numId="38">
    <w:abstractNumId w:val="24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7616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D76C5"/>
    <w:rsid w:val="002E274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61EA9"/>
    <w:rsid w:val="00463B08"/>
    <w:rsid w:val="0046418B"/>
    <w:rsid w:val="00466612"/>
    <w:rsid w:val="00466BB8"/>
    <w:rsid w:val="00467261"/>
    <w:rsid w:val="004807B4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4302"/>
    <w:rsid w:val="009A053D"/>
    <w:rsid w:val="009B0862"/>
    <w:rsid w:val="009B1918"/>
    <w:rsid w:val="009B28F7"/>
    <w:rsid w:val="009C1F32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52E1"/>
    <w:rsid w:val="00EB0AEA"/>
    <w:rsid w:val="00EB3F3D"/>
    <w:rsid w:val="00EB4FAF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393_&#1055;6-111_151023116(120)_&#1054;&#1054;&#1054;%20&#1057;&#1080;&#1088;&#1090;&#1072;&#1083;\&#1043;&#1088;&#1072;&#1092;&#1080;&#1082;_&#1055;6-111_151023116(120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393_&#1055;6-111_151023116(120)_&#1054;&#1054;&#1054;%20&#1057;&#1080;&#1088;&#1090;&#1072;&#1083;\&#1043;&#1088;&#1072;&#1092;&#1080;&#1082;_&#1055;6-111_151023116(12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'116'!$A$6:$A$23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'116'!$B$6:$B$23</c:f>
              <c:numCache>
                <c:formatCode>0.0</c:formatCode>
                <c:ptCount val="18"/>
                <c:pt idx="0">
                  <c:v>14.6</c:v>
                </c:pt>
                <c:pt idx="1">
                  <c:v>13.1</c:v>
                </c:pt>
                <c:pt idx="2">
                  <c:v>11.2</c:v>
                </c:pt>
                <c:pt idx="3">
                  <c:v>10.5</c:v>
                </c:pt>
                <c:pt idx="4">
                  <c:v>10.7</c:v>
                </c:pt>
                <c:pt idx="5">
                  <c:v>9.4</c:v>
                </c:pt>
                <c:pt idx="6">
                  <c:v>10.3</c:v>
                </c:pt>
                <c:pt idx="7">
                  <c:v>10.9</c:v>
                </c:pt>
                <c:pt idx="8">
                  <c:v>11.8</c:v>
                </c:pt>
                <c:pt idx="9">
                  <c:v>13.5</c:v>
                </c:pt>
                <c:pt idx="10">
                  <c:v>13.5</c:v>
                </c:pt>
                <c:pt idx="11">
                  <c:v>14.2</c:v>
                </c:pt>
                <c:pt idx="12">
                  <c:v>14.3</c:v>
                </c:pt>
                <c:pt idx="13">
                  <c:v>15.6</c:v>
                </c:pt>
                <c:pt idx="14">
                  <c:v>16.7</c:v>
                </c:pt>
                <c:pt idx="15">
                  <c:v>17.399999999999999</c:v>
                </c:pt>
                <c:pt idx="16">
                  <c:v>18</c:v>
                </c:pt>
                <c:pt idx="17">
                  <c:v>19.2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439680"/>
        <c:axId val="219440256"/>
      </c:scatterChart>
      <c:valAx>
        <c:axId val="219439680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440256"/>
        <c:crosses val="autoZero"/>
        <c:crossBetween val="midCat"/>
        <c:majorUnit val="30"/>
        <c:minorUnit val="10"/>
      </c:valAx>
      <c:valAx>
        <c:axId val="219440256"/>
        <c:scaling>
          <c:orientation val="minMax"/>
          <c:max val="21"/>
          <c:min val="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43968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'116'!$A$24:$A$38</c:f>
              <c:numCache>
                <c:formatCode>0.0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'116'!$B$24:$B$38</c:f>
              <c:numCache>
                <c:formatCode>0.0</c:formatCode>
                <c:ptCount val="15"/>
                <c:pt idx="0">
                  <c:v>19.2</c:v>
                </c:pt>
                <c:pt idx="1">
                  <c:v>20.399999999999999</c:v>
                </c:pt>
                <c:pt idx="2">
                  <c:v>20.7</c:v>
                </c:pt>
                <c:pt idx="3">
                  <c:v>21.9</c:v>
                </c:pt>
                <c:pt idx="4">
                  <c:v>22</c:v>
                </c:pt>
                <c:pt idx="5">
                  <c:v>23.1</c:v>
                </c:pt>
                <c:pt idx="6">
                  <c:v>23.6</c:v>
                </c:pt>
                <c:pt idx="7">
                  <c:v>26.6</c:v>
                </c:pt>
                <c:pt idx="8">
                  <c:v>26.7</c:v>
                </c:pt>
                <c:pt idx="9">
                  <c:v>28.6</c:v>
                </c:pt>
                <c:pt idx="10">
                  <c:v>29</c:v>
                </c:pt>
                <c:pt idx="11">
                  <c:v>29.6</c:v>
                </c:pt>
                <c:pt idx="12">
                  <c:v>29.5</c:v>
                </c:pt>
                <c:pt idx="13">
                  <c:v>29.2</c:v>
                </c:pt>
                <c:pt idx="14">
                  <c:v>28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441984"/>
        <c:axId val="219442560"/>
      </c:scatterChart>
      <c:valAx>
        <c:axId val="219441984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442560"/>
        <c:crosses val="autoZero"/>
        <c:crossBetween val="midCat"/>
        <c:majorUnit val="50"/>
        <c:minorUnit val="10"/>
      </c:valAx>
      <c:valAx>
        <c:axId val="219442560"/>
        <c:scaling>
          <c:orientation val="minMax"/>
          <c:max val="30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441984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AF0A-00C1-4921-89F7-17733D92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33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2023-10-09T08:49:00Z</cp:lastPrinted>
  <dcterms:created xsi:type="dcterms:W3CDTF">2022-06-23T07:46:00Z</dcterms:created>
  <dcterms:modified xsi:type="dcterms:W3CDTF">2024-03-29T08:50:00Z</dcterms:modified>
</cp:coreProperties>
</file>