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927C80">
        <w:rPr>
          <w:b/>
          <w:sz w:val="32"/>
          <w:szCs w:val="32"/>
        </w:rPr>
        <w:t>150122395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B30E36" wp14:editId="2235147F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F2463" w:rsidRDefault="00EF2463" w:rsidP="00D75972">
                            <w:pPr>
                              <w:ind w:firstLine="567"/>
                              <w:jc w:val="both"/>
                            </w:pPr>
                          </w:p>
                          <w:p w:rsidR="00EF2463" w:rsidRPr="00BA7D77" w:rsidRDefault="00EF246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F2463" w:rsidRPr="007A2685" w:rsidRDefault="00EF246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EF2463" w:rsidRDefault="00EF246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F2463" w:rsidRDefault="00EF2463" w:rsidP="00D75972">
                      <w:pPr>
                        <w:ind w:firstLine="567"/>
                        <w:jc w:val="both"/>
                      </w:pPr>
                    </w:p>
                    <w:p w:rsidR="00EF2463" w:rsidRPr="00BA7D77" w:rsidRDefault="00EF246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F2463" w:rsidRPr="007A2685" w:rsidRDefault="00EF246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9600EAC" wp14:editId="251FC1B7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A246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927C80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246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927C80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246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927C80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246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927C80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246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927C80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246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927C80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246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927C80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246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927C80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246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927C80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246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927C80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246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927C80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246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927C80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246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927C80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246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927C80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246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927C80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246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927C80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246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927C80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246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927C80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246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927C80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246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927C80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246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927C80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A2464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927C80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822770">
        <w:t>1</w:t>
      </w:r>
      <w:r w:rsidR="00D925F3" w:rsidRPr="00D925F3">
        <w:rPr>
          <w:u w:val="single"/>
        </w:rPr>
        <w:t>4 сентября</w:t>
      </w:r>
      <w:r w:rsidR="000571D8" w:rsidRPr="00D925F3">
        <w:rPr>
          <w:u w:val="single"/>
        </w:rPr>
        <w:t xml:space="preserve"> 2023 </w:t>
      </w:r>
      <w:r w:rsidR="003C0604" w:rsidRPr="00D925F3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927C80">
        <w:rPr>
          <w:u w:val="single"/>
        </w:rPr>
        <w:t>150122395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4D5C19" w:rsidRPr="00B707DB" w:rsidRDefault="004D5C1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0203C5">
      <w:pPr>
        <w:spacing w:after="120"/>
        <w:ind w:firstLine="709"/>
        <w:jc w:val="both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Максимальная подводимая мощность, не более, Вт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401471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967152" w:rsidRDefault="00401471" w:rsidP="00E162E3">
            <w:r w:rsidRPr="00967152">
              <w:t>КСВН входа антенны</w:t>
            </w:r>
            <w:r w:rsidR="00467261"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967152" w:rsidRDefault="00401471" w:rsidP="00E162E3">
            <w:pPr>
              <w:jc w:val="center"/>
            </w:pPr>
            <w:r w:rsidRPr="00967152">
              <w:t>2,5</w:t>
            </w:r>
          </w:p>
        </w:tc>
      </w:tr>
      <w:tr w:rsidR="00766D95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5" w:rsidRPr="00967152" w:rsidRDefault="00766D95" w:rsidP="00E162E3">
            <w:r>
              <w:t xml:space="preserve">Максимальная подводимая мощность, </w:t>
            </w:r>
            <w:proofErr w:type="gramStart"/>
            <w:r>
              <w:t>Вт</w:t>
            </w:r>
            <w:proofErr w:type="gramEnd"/>
            <w: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5" w:rsidRPr="00967152" w:rsidRDefault="00766D95" w:rsidP="00E162E3">
            <w:pPr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>
              <w:rPr>
                <w:color w:val="000000"/>
                <w:spacing w:val="4"/>
              </w:rPr>
              <w:t xml:space="preserve"> дБ</w:t>
            </w:r>
            <w:r>
              <w:rPr>
                <w:color w:val="000000"/>
                <w:spacing w:val="4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B07984">
            <w:pPr>
              <w:shd w:val="clear" w:color="auto" w:fill="FFFFFF"/>
              <w:jc w:val="center"/>
            </w:pPr>
            <w:r>
              <w:t>-20</w:t>
            </w:r>
            <w:r w:rsidR="00B07984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Импеданс</w:t>
            </w:r>
            <w:r w:rsidR="007D0468">
              <w:rPr>
                <w:color w:val="000000"/>
                <w:spacing w:val="4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0203C5" w:rsidRDefault="000203C5" w:rsidP="000203C5">
      <w:pPr>
        <w:pStyle w:val="af4"/>
        <w:numPr>
          <w:ilvl w:val="1"/>
          <w:numId w:val="3"/>
        </w:numPr>
        <w:ind w:left="0" w:firstLine="709"/>
        <w:jc w:val="both"/>
      </w:pPr>
      <w:r>
        <w:t>Рабочие условия применения:</w:t>
      </w:r>
    </w:p>
    <w:p w:rsidR="000203C5" w:rsidRPr="004166AA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>температура окружающей среды, °С</w:t>
      </w:r>
      <w:r>
        <w:t xml:space="preserve"> </w:t>
      </w:r>
      <w:r w:rsidRPr="004166AA">
        <w:t>…………</w:t>
      </w:r>
      <w:r>
        <w:t>..</w:t>
      </w:r>
      <w:r w:rsidRPr="004166AA">
        <w:t>………</w:t>
      </w:r>
      <w:r>
        <w:t xml:space="preserve"> </w:t>
      </w:r>
      <w:proofErr w:type="gramStart"/>
      <w:r w:rsidRPr="004166AA">
        <w:t>от</w:t>
      </w:r>
      <w:proofErr w:type="gramEnd"/>
      <w:r w:rsidRPr="004166AA">
        <w:t xml:space="preserve"> минус 50 до плюс 40;</w:t>
      </w:r>
    </w:p>
    <w:p w:rsidR="000203C5" w:rsidRPr="004166AA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lastRenderedPageBreak/>
        <w:t>отно</w:t>
      </w:r>
      <w:r>
        <w:t xml:space="preserve">сительная влажность  воздуха </w:t>
      </w:r>
      <w:r w:rsidRPr="004166AA">
        <w:t>.…</w:t>
      </w:r>
      <w:r>
        <w:t xml:space="preserve">…. </w:t>
      </w:r>
      <w:r w:rsidRPr="004166AA">
        <w:t>не более 95 % при температуре 35</w:t>
      </w:r>
      <w:proofErr w:type="gramStart"/>
      <w:r w:rsidRPr="004166AA">
        <w:t xml:space="preserve"> °С</w:t>
      </w:r>
      <w:proofErr w:type="gramEnd"/>
      <w:r w:rsidRPr="004166AA">
        <w:t>;</w:t>
      </w:r>
    </w:p>
    <w:p w:rsidR="000203C5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 xml:space="preserve">атмосферное давление, мм рт. </w:t>
      </w:r>
      <w:proofErr w:type="spellStart"/>
      <w:r w:rsidRPr="004166AA">
        <w:t>ст</w:t>
      </w:r>
      <w:proofErr w:type="spellEnd"/>
      <w:proofErr w:type="gramStart"/>
      <w:r w:rsidRPr="004166AA">
        <w:t xml:space="preserve"> .</w:t>
      </w:r>
      <w:proofErr w:type="gramEnd"/>
      <w:r w:rsidRPr="004166AA">
        <w:t>……………..</w:t>
      </w:r>
      <w:r>
        <w:t xml:space="preserve">…………………… </w:t>
      </w:r>
      <w:r w:rsidRPr="004166AA">
        <w:t>от 460 до 800.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EFB21" wp14:editId="445502B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53B1D" wp14:editId="3CC96FD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4A709" wp14:editId="7718B78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54C73" wp14:editId="1F92973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0F998" wp14:editId="67340E6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9DC50" wp14:editId="2225C0C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6548D8">
      <w:pPr>
        <w:spacing w:after="120"/>
        <w:ind w:firstLine="709"/>
        <w:jc w:val="both"/>
      </w:pPr>
      <w:r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антенна должна быть надежно </w:t>
      </w:r>
      <w:r w:rsidR="00D925F3">
        <w:t xml:space="preserve">упакована и </w:t>
      </w:r>
      <w:r>
        <w:t>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927C80" w:rsidP="006548D8">
            <w:pPr>
              <w:spacing w:line="276" w:lineRule="auto"/>
              <w:jc w:val="center"/>
            </w:pPr>
            <w:r>
              <w:t>150122395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МП_П6-121(М)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E50792">
      <w:pPr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F252EC" wp14:editId="6F6401C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EF2463" w:rsidRPr="00EF2463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EF2463" w:rsidRPr="00EF2463" w:rsidRDefault="00EF2463" w:rsidP="00EF2463">
      <w:pPr>
        <w:ind w:firstLine="709"/>
        <w:rPr>
          <w:lang w:val="en-US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927C80">
              <w:rPr>
                <w:spacing w:val="-4"/>
              </w:rPr>
              <w:t>150122395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Белоусов С.И.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927C80">
              <w:rPr>
                <w:spacing w:val="-4"/>
              </w:rPr>
              <w:t>150122395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bookmarkStart w:id="10" w:name="_Toc133929889"/>
    <w:p w:rsidR="0010361C" w:rsidRDefault="003B1068" w:rsidP="00894699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AC79757" wp14:editId="0605E3B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FC8CD0" wp14:editId="35B2D20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30B89A" wp14:editId="7026C62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8CE10C" wp14:editId="29A24E3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9F9169" wp14:editId="4E9A458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580906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МП_П6-121(М)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ц а 12 – Периодическая </w:t>
      </w:r>
      <w:r>
        <w:t>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742"/>
        <w:gridCol w:w="1316"/>
        <w:gridCol w:w="872"/>
        <w:gridCol w:w="10"/>
        <w:gridCol w:w="864"/>
        <w:gridCol w:w="724"/>
        <w:gridCol w:w="876"/>
        <w:gridCol w:w="728"/>
        <w:gridCol w:w="872"/>
      </w:tblGrid>
      <w:tr w:rsidR="0092455B" w:rsidTr="00E162E3">
        <w:trPr>
          <w:trHeight w:val="311"/>
          <w:jc w:val="center"/>
        </w:trPr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3B10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F6A4AD3" wp14:editId="7BC5410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5C116A" wp14:editId="3C14FD2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C3FAADE" wp14:editId="018AABE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F107DE" wp14:editId="1CC7B8C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E162E3">
        <w:trPr>
          <w:trHeight w:val="562"/>
          <w:jc w:val="center"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96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</w:tr>
      <w:tr w:rsidR="009646BE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Pr="00837906" w:rsidRDefault="009646BE" w:rsidP="009646BE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F47B7E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9B28F7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69479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E16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E16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E16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F15E48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D9C352" wp14:editId="2C26F10A">
                <wp:simplePos x="0" y="0"/>
                <wp:positionH relativeFrom="column">
                  <wp:posOffset>3032125</wp:posOffset>
                </wp:positionH>
                <wp:positionV relativeFrom="paragraph">
                  <wp:posOffset>240030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463" w:rsidRPr="00775AC3" w:rsidRDefault="00EF246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927C80">
                              <w:rPr>
                                <w:b/>
                                <w:bCs/>
                              </w:rPr>
                              <w:t>150122395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38.75pt;margin-top:18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" filled="f" stroked="f">
                <v:textbox inset="0,0,0,0">
                  <w:txbxContent>
                    <w:p w:rsidR="00EF2463" w:rsidRPr="00775AC3" w:rsidRDefault="00EF246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927C80">
                        <w:rPr>
                          <w:b/>
                          <w:bCs/>
                        </w:rPr>
                        <w:t>150122395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0370424" wp14:editId="08D46132">
            <wp:extent cx="9052560" cy="4998720"/>
            <wp:effectExtent l="0" t="0" r="1524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33929901"/>
      <w:r>
        <w:lastRenderedPageBreak/>
        <w:t>ПРИЛОЖЕНИЕ Б</w:t>
      </w:r>
      <w:bookmarkEnd w:id="27"/>
      <w:bookmarkEnd w:id="28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927C80">
        <w:t>150122395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3C6D01" w:rsidRPr="006813E8" w:rsidTr="003C6D0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C6D01" w:rsidRPr="006813E8" w:rsidRDefault="003C6D01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C6D01" w:rsidRPr="00B50491" w:rsidRDefault="003C6D01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6D01" w:rsidRPr="007F1FF4" w:rsidRDefault="003C6D01" w:rsidP="004154C0">
            <w:pPr>
              <w:jc w:val="center"/>
            </w:pPr>
            <w:r>
              <w:t>Коэффициент усиления, дБ</w:t>
            </w:r>
          </w:p>
        </w:tc>
      </w:tr>
      <w:tr w:rsidR="003C6D01" w:rsidRPr="006813E8" w:rsidTr="00A931DB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01" w:rsidRDefault="003C6D01">
            <w:pPr>
              <w:jc w:val="center"/>
            </w:pPr>
            <w:bookmarkStart w:id="29" w:name="_GoBack" w:colFirst="1" w:colLast="2"/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D01" w:rsidRDefault="003C6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D01" w:rsidRDefault="003C6D01">
            <w:pPr>
              <w:jc w:val="center"/>
            </w:pPr>
            <w:r>
              <w:t>-17,8</w:t>
            </w:r>
          </w:p>
        </w:tc>
      </w:tr>
      <w:tr w:rsidR="003C6D01" w:rsidRPr="006813E8" w:rsidTr="00A931D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01" w:rsidRDefault="003C6D01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D01" w:rsidRDefault="003C6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D01" w:rsidRDefault="003C6D01">
            <w:pPr>
              <w:jc w:val="center"/>
            </w:pPr>
            <w:r>
              <w:t>-12,8</w:t>
            </w:r>
          </w:p>
        </w:tc>
      </w:tr>
      <w:tr w:rsidR="003C6D01" w:rsidRPr="006813E8" w:rsidTr="00A931D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01" w:rsidRDefault="003C6D01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D01" w:rsidRDefault="003C6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D01" w:rsidRDefault="003C6D01">
            <w:pPr>
              <w:jc w:val="center"/>
            </w:pPr>
            <w:r>
              <w:t>-8,8</w:t>
            </w:r>
          </w:p>
        </w:tc>
      </w:tr>
      <w:tr w:rsidR="003C6D01" w:rsidRPr="006813E8" w:rsidTr="00A931D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01" w:rsidRDefault="003C6D01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D01" w:rsidRDefault="003C6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D01" w:rsidRDefault="003C6D01">
            <w:pPr>
              <w:jc w:val="center"/>
            </w:pPr>
            <w:r>
              <w:t>-6,2</w:t>
            </w:r>
          </w:p>
        </w:tc>
      </w:tr>
      <w:tr w:rsidR="003C6D01" w:rsidRPr="006813E8" w:rsidTr="00A931D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01" w:rsidRDefault="003C6D01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D01" w:rsidRDefault="003C6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D01" w:rsidRDefault="003C6D01">
            <w:pPr>
              <w:jc w:val="center"/>
            </w:pPr>
            <w:r>
              <w:t>-5,5</w:t>
            </w:r>
          </w:p>
        </w:tc>
      </w:tr>
      <w:tr w:rsidR="003C6D01" w:rsidRPr="006813E8" w:rsidTr="00A931D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01" w:rsidRDefault="003C6D01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D01" w:rsidRDefault="003C6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D01" w:rsidRDefault="003C6D01">
            <w:pPr>
              <w:jc w:val="center"/>
            </w:pPr>
            <w:r>
              <w:t>-3,5</w:t>
            </w:r>
          </w:p>
        </w:tc>
      </w:tr>
      <w:tr w:rsidR="003C6D01" w:rsidRPr="006813E8" w:rsidTr="00A931D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01" w:rsidRDefault="003C6D01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D01" w:rsidRDefault="003C6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D01" w:rsidRDefault="003C6D01">
            <w:pPr>
              <w:jc w:val="center"/>
            </w:pPr>
            <w:r>
              <w:t>-2,8</w:t>
            </w:r>
          </w:p>
        </w:tc>
      </w:tr>
      <w:tr w:rsidR="003C6D01" w:rsidRPr="006813E8" w:rsidTr="00A931D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01" w:rsidRDefault="003C6D01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D01" w:rsidRDefault="003C6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D01" w:rsidRDefault="003C6D01">
            <w:pPr>
              <w:jc w:val="center"/>
            </w:pPr>
            <w:r>
              <w:t>-3,7</w:t>
            </w:r>
          </w:p>
        </w:tc>
      </w:tr>
      <w:tr w:rsidR="003C6D01" w:rsidRPr="006813E8" w:rsidTr="00A931D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01" w:rsidRDefault="003C6D01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D01" w:rsidRDefault="003C6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D01" w:rsidRDefault="003C6D01">
            <w:pPr>
              <w:jc w:val="center"/>
            </w:pPr>
            <w:r>
              <w:t>-3,0</w:t>
            </w:r>
          </w:p>
        </w:tc>
      </w:tr>
      <w:tr w:rsidR="003C6D01" w:rsidRPr="006813E8" w:rsidTr="00A931D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01" w:rsidRDefault="003C6D01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D01" w:rsidRDefault="003C6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D01" w:rsidRDefault="003C6D01">
            <w:pPr>
              <w:jc w:val="center"/>
            </w:pPr>
            <w:r>
              <w:t>-3,5</w:t>
            </w:r>
          </w:p>
        </w:tc>
      </w:tr>
      <w:tr w:rsidR="003C6D01" w:rsidRPr="006813E8" w:rsidTr="00A931D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01" w:rsidRDefault="003C6D01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D01" w:rsidRDefault="003C6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D01" w:rsidRDefault="003C6D01">
            <w:pPr>
              <w:jc w:val="center"/>
            </w:pPr>
            <w:r>
              <w:t>-2,6</w:t>
            </w:r>
          </w:p>
        </w:tc>
      </w:tr>
      <w:tr w:rsidR="003C6D01" w:rsidRPr="006813E8" w:rsidTr="00A931D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01" w:rsidRDefault="003C6D01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D01" w:rsidRDefault="003C6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D01" w:rsidRDefault="003C6D01">
            <w:pPr>
              <w:jc w:val="center"/>
            </w:pPr>
            <w:r>
              <w:t>-3,0</w:t>
            </w:r>
          </w:p>
        </w:tc>
      </w:tr>
      <w:tr w:rsidR="003C6D01" w:rsidRPr="006813E8" w:rsidTr="00A931D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01" w:rsidRDefault="003C6D01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D01" w:rsidRDefault="003C6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D01" w:rsidRDefault="003C6D01">
            <w:pPr>
              <w:jc w:val="center"/>
            </w:pPr>
            <w:r>
              <w:t>-2,5</w:t>
            </w:r>
          </w:p>
        </w:tc>
      </w:tr>
      <w:tr w:rsidR="003C6D01" w:rsidRPr="006813E8" w:rsidTr="00A931D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01" w:rsidRDefault="003C6D01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D01" w:rsidRDefault="003C6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D01" w:rsidRDefault="003C6D01">
            <w:pPr>
              <w:jc w:val="center"/>
            </w:pPr>
            <w:r>
              <w:t>-2,1</w:t>
            </w:r>
          </w:p>
        </w:tc>
      </w:tr>
      <w:tr w:rsidR="003C6D01" w:rsidRPr="006813E8" w:rsidTr="00A931D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01" w:rsidRDefault="003C6D01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D01" w:rsidRDefault="003C6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D01" w:rsidRDefault="003C6D01">
            <w:pPr>
              <w:jc w:val="center"/>
            </w:pPr>
            <w:r>
              <w:t>-2,9</w:t>
            </w:r>
          </w:p>
        </w:tc>
      </w:tr>
      <w:tr w:rsidR="003C6D01" w:rsidRPr="006813E8" w:rsidTr="00A931D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01" w:rsidRDefault="003C6D01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D01" w:rsidRDefault="003C6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D01" w:rsidRDefault="003C6D01">
            <w:pPr>
              <w:jc w:val="center"/>
            </w:pPr>
            <w:r>
              <w:t>-2,2</w:t>
            </w:r>
          </w:p>
        </w:tc>
      </w:tr>
      <w:tr w:rsidR="003C6D01" w:rsidRPr="006813E8" w:rsidTr="00A931D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01" w:rsidRDefault="003C6D01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D01" w:rsidRDefault="003C6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D01" w:rsidRDefault="003C6D01">
            <w:pPr>
              <w:jc w:val="center"/>
            </w:pPr>
            <w:r>
              <w:t>-0,8</w:t>
            </w:r>
          </w:p>
        </w:tc>
      </w:tr>
      <w:tr w:rsidR="003C6D01" w:rsidRPr="006813E8" w:rsidTr="00A931D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01" w:rsidRDefault="003C6D01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D01" w:rsidRDefault="003C6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6D01" w:rsidRDefault="003C6D01">
            <w:pPr>
              <w:jc w:val="center"/>
            </w:pPr>
            <w:r>
              <w:t>0,3</w:t>
            </w:r>
          </w:p>
        </w:tc>
      </w:tr>
      <w:bookmarkEnd w:id="29"/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4B" w:rsidRDefault="00A2464B" w:rsidP="0010361C">
      <w:r>
        <w:separator/>
      </w:r>
    </w:p>
  </w:endnote>
  <w:endnote w:type="continuationSeparator" w:id="0">
    <w:p w:rsidR="00A2464B" w:rsidRDefault="00A2464B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F2463" w:rsidRDefault="00EF246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C6D01">
      <w:rPr>
        <w:rStyle w:val="af2"/>
        <w:noProof/>
      </w:rPr>
      <w:t>30</w:t>
    </w:r>
    <w:r>
      <w:rPr>
        <w:rStyle w:val="af2"/>
      </w:rPr>
      <w:fldChar w:fldCharType="end"/>
    </w:r>
  </w:p>
  <w:p w:rsidR="00EF2463" w:rsidRDefault="00EF246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Pr="002A31D5" w:rsidRDefault="00EF246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F15E48">
      <w:rPr>
        <w:noProof/>
      </w:rPr>
      <w:t>32</w:t>
    </w:r>
    <w:r w:rsidRPr="002A31D5">
      <w:fldChar w:fldCharType="end"/>
    </w:r>
  </w:p>
  <w:p w:rsidR="00EF2463" w:rsidRDefault="00EF246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3C6D01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4B" w:rsidRDefault="00A2464B" w:rsidP="0010361C">
      <w:r>
        <w:separator/>
      </w:r>
    </w:p>
  </w:footnote>
  <w:footnote w:type="continuationSeparator" w:id="0">
    <w:p w:rsidR="00A2464B" w:rsidRDefault="00A2464B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56919"/>
    <w:rsid w:val="000571D8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C6D01"/>
    <w:rsid w:val="003D1130"/>
    <w:rsid w:val="003E2960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203F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803FAB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27C80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464B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450F1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E0B0D"/>
    <w:rsid w:val="00CE2312"/>
    <w:rsid w:val="00CE2755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15E48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346_&#1055;6-121_150122386(395,398,405,758)_&#1054;&#1054;&#1054;%20&#1056;&#1072;&#1076;&#1080;&#1086;&#1092;&#1086;&#1090;&#1086;&#1085;&#1080;&#1082;&#1072;\&#1055;6-121_150122386(395,398,405,758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'395'!$A$5:$A$22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'395'!$B$5:$B$22</c:f>
              <c:numCache>
                <c:formatCode>0.0</c:formatCode>
                <c:ptCount val="18"/>
                <c:pt idx="0">
                  <c:v>17.600000000000001</c:v>
                </c:pt>
                <c:pt idx="1">
                  <c:v>15.1</c:v>
                </c:pt>
                <c:pt idx="2">
                  <c:v>13</c:v>
                </c:pt>
                <c:pt idx="3">
                  <c:v>12</c:v>
                </c:pt>
                <c:pt idx="4">
                  <c:v>12.6</c:v>
                </c:pt>
                <c:pt idx="5">
                  <c:v>11.8</c:v>
                </c:pt>
                <c:pt idx="6">
                  <c:v>12.1</c:v>
                </c:pt>
                <c:pt idx="7">
                  <c:v>13.9</c:v>
                </c:pt>
                <c:pt idx="8">
                  <c:v>14.8</c:v>
                </c:pt>
                <c:pt idx="9">
                  <c:v>16.600000000000001</c:v>
                </c:pt>
                <c:pt idx="10">
                  <c:v>16.899999999999999</c:v>
                </c:pt>
                <c:pt idx="11">
                  <c:v>18.3</c:v>
                </c:pt>
                <c:pt idx="12">
                  <c:v>18.7</c:v>
                </c:pt>
                <c:pt idx="13">
                  <c:v>19.2</c:v>
                </c:pt>
                <c:pt idx="14">
                  <c:v>20.7</c:v>
                </c:pt>
                <c:pt idx="15">
                  <c:v>20.7</c:v>
                </c:pt>
                <c:pt idx="16">
                  <c:v>20</c:v>
                </c:pt>
                <c:pt idx="17">
                  <c:v>19.5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0384192"/>
        <c:axId val="230384768"/>
      </c:scatterChart>
      <c:valAx>
        <c:axId val="230384192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0384768"/>
        <c:crosses val="autoZero"/>
        <c:crossBetween val="midCat"/>
        <c:majorUnit val="20"/>
        <c:minorUnit val="5"/>
      </c:valAx>
      <c:valAx>
        <c:axId val="230384768"/>
        <c:scaling>
          <c:orientation val="minMax"/>
          <c:max val="22"/>
          <c:min val="1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038419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160EE-C5C4-439B-9224-4BF184F3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21796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2023-10-12T08:23:00Z</cp:lastPrinted>
  <dcterms:created xsi:type="dcterms:W3CDTF">2023-10-12T08:24:00Z</dcterms:created>
  <dcterms:modified xsi:type="dcterms:W3CDTF">2023-10-13T07:00:00Z</dcterms:modified>
</cp:coreProperties>
</file>