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317A32">
        <w:rPr>
          <w:b/>
          <w:sz w:val="28"/>
          <w:szCs w:val="28"/>
          <w:u w:val="single"/>
        </w:rPr>
        <w:t>030921201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D703" wp14:editId="747779E9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</w:p>
                          <w:p w:rsidR="002E6052" w:rsidRPr="00BA7D77" w:rsidRDefault="002E605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6052" w:rsidRPr="007A2685" w:rsidRDefault="002E605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8CC819" wp14:editId="01E522A7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147F0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Pr="006C6EF3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Pr="006C6EF3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Pr="006C6EF3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Pr="006C6EF3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Pr="006C6EF3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Pr="006C6EF3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Pr="006C6EF3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Pr="006C6EF3">
          <w:rPr>
            <w:rStyle w:val="ad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Pr="006C6EF3">
          <w:rPr>
            <w:rStyle w:val="ad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ДВИЖЕНИЕ АИК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Pr="006C6EF3">
          <w:rPr>
            <w:rStyle w:val="ad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Pr="006C6EF3">
          <w:rPr>
            <w:rStyle w:val="ad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Pr="006C6EF3">
          <w:rPr>
            <w:rStyle w:val="ad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Pr="006C6EF3">
          <w:rPr>
            <w:rStyle w:val="ad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Pr="006C6EF3">
          <w:rPr>
            <w:rStyle w:val="ad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Pr="006C6EF3">
          <w:rPr>
            <w:rStyle w:val="ad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Pr="006C6EF3">
          <w:rPr>
            <w:rStyle w:val="ad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Pr="006C6EF3">
          <w:rPr>
            <w:rStyle w:val="ad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Pr="006C6EF3">
          <w:rPr>
            <w:rStyle w:val="ad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47F0B" w:rsidRDefault="00147F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Pr="006C6EF3">
          <w:rPr>
            <w:rStyle w:val="ad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C6EF3">
          <w:rPr>
            <w:rStyle w:val="ad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_Toc130545745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317A32">
        <w:rPr>
          <w:sz w:val="28"/>
          <w:szCs w:val="28"/>
          <w:u w:val="single"/>
        </w:rPr>
        <w:t>06</w:t>
      </w:r>
      <w:r w:rsidR="007347A8">
        <w:rPr>
          <w:sz w:val="28"/>
          <w:szCs w:val="28"/>
          <w:u w:val="single"/>
        </w:rPr>
        <w:t xml:space="preserve"> </w:t>
      </w:r>
      <w:r w:rsidR="00317A32">
        <w:rPr>
          <w:sz w:val="28"/>
          <w:szCs w:val="28"/>
          <w:u w:val="single"/>
        </w:rPr>
        <w:t xml:space="preserve">февраля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317A32">
        <w:rPr>
          <w:sz w:val="28"/>
          <w:szCs w:val="28"/>
          <w:u w:val="single"/>
        </w:rPr>
        <w:t>030921201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ц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317A32">
              <w:t>6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317A32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7,2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317A32">
              <w:t>6</w:t>
            </w:r>
          </w:p>
          <w:p w:rsidR="00D50BEA" w:rsidRPr="003269A0" w:rsidRDefault="00317A32" w:rsidP="002F7B1E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ц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130545729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130545730"/>
      <w:r w:rsidRPr="003F3C96">
        <w:t>КОМПЛЕКТНОСТЬ</w:t>
      </w:r>
      <w:bookmarkEnd w:id="20"/>
      <w:bookmarkEnd w:id="21"/>
      <w:bookmarkEnd w:id="22"/>
      <w:bookmarkEnd w:id="23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ц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17A3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17A3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>) В-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BB06B2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BB06B2">
              <w:rPr>
                <w:sz w:val="22"/>
                <w:szCs w:val="22"/>
                <w:lang w:eastAsia="en-US"/>
              </w:rPr>
              <w:t>(***)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  <w:r w:rsidR="00BB06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6F2179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4" w:name="_Toc490575381"/>
      <w:bookmarkStart w:id="25" w:name="_Toc490575462"/>
      <w:bookmarkStart w:id="26" w:name="_Toc490575543"/>
      <w:bookmarkStart w:id="27" w:name="_Toc130545731"/>
      <w:r w:rsidRPr="00A424F2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обязательств прекращается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«СКАРД-Электроникс»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r w:rsidRPr="009524EE">
          <w:rPr>
            <w:rStyle w:val="ad"/>
            <w:spacing w:val="-4"/>
            <w:sz w:val="28"/>
            <w:szCs w:val="28"/>
          </w:rPr>
          <w:t>.</w:t>
        </w:r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130545732"/>
      <w:r w:rsidRPr="00563441">
        <w:lastRenderedPageBreak/>
        <w:t>КОНСЕРВАЦИЯ</w:t>
      </w:r>
      <w:bookmarkEnd w:id="30"/>
      <w:bookmarkEnd w:id="31"/>
      <w:bookmarkEnd w:id="32"/>
      <w:bookmarkEnd w:id="33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ц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130545733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17A32">
              <w:t>030921201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130545734"/>
      <w:r w:rsidRPr="00563441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17A32">
              <w:t>030921201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</w:t>
            </w:r>
            <w:bookmarkStart w:id="42" w:name="_GoBack"/>
            <w:bookmarkEnd w:id="42"/>
            <w:r>
              <w:t>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ц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ц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ц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ц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ц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ц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ц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EC6C0A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c>
          <w:tcPr>
            <w:tcW w:w="1215" w:type="pct"/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ц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EC6C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D0" w:rsidRDefault="001060D0">
      <w:r>
        <w:separator/>
      </w:r>
    </w:p>
  </w:endnote>
  <w:endnote w:type="continuationSeparator" w:id="0">
    <w:p w:rsidR="001060D0" w:rsidRDefault="001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052" w:rsidRDefault="002E605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7F0B">
      <w:rPr>
        <w:rStyle w:val="a8"/>
        <w:noProof/>
      </w:rPr>
      <w:t>12</w:t>
    </w:r>
    <w:r>
      <w:rPr>
        <w:rStyle w:val="a8"/>
      </w:rPr>
      <w:fldChar w:fldCharType="end"/>
    </w:r>
  </w:p>
  <w:p w:rsidR="002E6052" w:rsidRDefault="002E605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D0" w:rsidRDefault="001060D0">
      <w:r>
        <w:separator/>
      </w:r>
    </w:p>
  </w:footnote>
  <w:footnote w:type="continuationSeparator" w:id="0">
    <w:p w:rsidR="001060D0" w:rsidRDefault="0010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Pr="00AB5CD0" w:rsidRDefault="002E605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23481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7</cp:revision>
  <cp:lastPrinted>2023-03-24T07:25:00Z</cp:lastPrinted>
  <dcterms:created xsi:type="dcterms:W3CDTF">2023-03-17T08:39:00Z</dcterms:created>
  <dcterms:modified xsi:type="dcterms:W3CDTF">2023-03-24T07:26:00Z</dcterms:modified>
</cp:coreProperties>
</file>