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Pr="00684BD3" w:rsidRDefault="004F124D" w:rsidP="00B5035E">
      <w:pPr>
        <w:jc w:val="center"/>
        <w:rPr>
          <w:sz w:val="28"/>
          <w:szCs w:val="28"/>
        </w:rPr>
      </w:pPr>
    </w:p>
    <w:p w:rsidR="004F124D" w:rsidRPr="00684BD3" w:rsidRDefault="004F124D" w:rsidP="00B5035E">
      <w:pPr>
        <w:jc w:val="center"/>
        <w:rPr>
          <w:sz w:val="28"/>
          <w:szCs w:val="28"/>
        </w:rPr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ED526C" w:rsidRDefault="00ED526C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06018">
        <w:rPr>
          <w:b/>
          <w:sz w:val="32"/>
          <w:szCs w:val="32"/>
        </w:rPr>
        <w:t>150323830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Pr="00684BD3" w:rsidRDefault="004F124D" w:rsidP="00B5035E">
      <w:pPr>
        <w:spacing w:line="360" w:lineRule="auto"/>
        <w:jc w:val="center"/>
        <w:rPr>
          <w:b/>
          <w:sz w:val="28"/>
          <w:szCs w:val="28"/>
        </w:rPr>
      </w:pPr>
      <w:r w:rsidRPr="00684BD3">
        <w:rPr>
          <w:b/>
          <w:sz w:val="28"/>
          <w:szCs w:val="28"/>
        </w:rPr>
        <w:t>КНПР.464651.</w:t>
      </w:r>
      <w:r w:rsidR="00492A91" w:rsidRPr="00684BD3">
        <w:rPr>
          <w:b/>
          <w:sz w:val="28"/>
          <w:szCs w:val="28"/>
        </w:rPr>
        <w:t>025</w:t>
      </w:r>
      <w:r w:rsidRPr="00684BD3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ED526C" w:rsidRDefault="00ED526C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47A41" wp14:editId="2E630E9E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93498BE" wp14:editId="61D48697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3B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4BD3">
        <w:rPr>
          <w:u w:val="single"/>
        </w:rPr>
        <w:t>14 февраля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F06018">
        <w:rPr>
          <w:u w:val="single"/>
        </w:rPr>
        <w:t>150323830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54AFB4" wp14:editId="5FE561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CC3FE5" wp14:editId="1FBC3F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E2050B" wp14:editId="60E82CA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591E1" wp14:editId="5EBA39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4ADD8" wp14:editId="4ACE102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FB74F" wp14:editId="333842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F06018" w:rsidP="00B5035E">
            <w:pPr>
              <w:jc w:val="center"/>
            </w:pPr>
            <w:r>
              <w:t>150323830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F651A" wp14:editId="3776549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06018">
              <w:rPr>
                <w:rFonts w:ascii="Times New Roman" w:hAnsi="Times New Roman"/>
                <w:spacing w:val="-4"/>
              </w:rPr>
              <w:t>150323830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06018">
              <w:rPr>
                <w:rFonts w:ascii="Times New Roman" w:hAnsi="Times New Roman"/>
                <w:spacing w:val="-4"/>
              </w:rPr>
              <w:t>150323830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C9C85" wp14:editId="0FED679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F06018">
        <w:t xml:space="preserve"> зав.№150323830</w:t>
      </w:r>
      <w:r w:rsidR="004F124D" w:rsidRPr="00C674EE">
        <w:t xml:space="preserve"> от частоты</w:t>
      </w:r>
      <w:r w:rsidR="00F06018">
        <w:rPr>
          <w:color w:val="FF0000"/>
        </w:rPr>
        <w:t>.</w:t>
      </w:r>
    </w:p>
    <w:p w:rsidR="00C674EE" w:rsidRDefault="00F06018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DD4E8" wp14:editId="415DAA10">
                <wp:simplePos x="0" y="0"/>
                <wp:positionH relativeFrom="column">
                  <wp:posOffset>3701415</wp:posOffset>
                </wp:positionH>
                <wp:positionV relativeFrom="paragraph">
                  <wp:posOffset>236220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 xml:space="preserve">Изделие: Антенна П6-251 </w:t>
                            </w:r>
                            <w:r w:rsidR="00F06018">
                              <w:rPr>
                                <w:bCs/>
                                <w:color w:val="000000"/>
                              </w:rPr>
                              <w:t xml:space="preserve"> зав.№150323830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91.45pt;margin-top:18.6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M9hwyn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 xml:space="preserve">Изделие: Антенна П6-251 </w:t>
                      </w:r>
                      <w:r w:rsidR="00F06018">
                        <w:rPr>
                          <w:bCs/>
                          <w:color w:val="000000"/>
                        </w:rPr>
                        <w:t xml:space="preserve"> зав.№150323830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965BDA">
            <wp:extent cx="8353425" cy="5212158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577" cy="521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F06018">
          <w:pgSz w:w="16838" w:h="11906" w:orient="landscape" w:code="9"/>
          <w:pgMar w:top="1135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Pr="00F06018" w:rsidRDefault="006813E8" w:rsidP="00684BD3">
      <w:pPr>
        <w:shd w:val="clear" w:color="auto" w:fill="FFFFFF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rPr>
          <w:bCs/>
        </w:rPr>
        <w:t>для заданной частоты</w:t>
      </w:r>
      <w:r w:rsidR="00684BD3">
        <w:rPr>
          <w:bCs/>
        </w:rPr>
        <w:t xml:space="preserve"> </w:t>
      </w:r>
      <w:r w:rsidR="00F06018">
        <w:rPr>
          <w:bCs/>
        </w:rPr>
        <w:t>зав.№150323830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24,7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-14,5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-8,8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25,4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-5,6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25,7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-3,4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0,1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22,5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3,3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22,0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5,1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4,2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25,2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4,1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18" w:rsidRDefault="00F06018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5,2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28,8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4,9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31,7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4,5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33,5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4,7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35,3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4,5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36,7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4,4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37,8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4,5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3,9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40,3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3,9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42,8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2,2</w:t>
            </w:r>
          </w:p>
        </w:tc>
      </w:tr>
      <w:tr w:rsidR="00F06018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18" w:rsidRDefault="00F06018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18" w:rsidRDefault="00F06018">
            <w:pPr>
              <w:jc w:val="center"/>
            </w:pPr>
            <w:r>
              <w:t>42,4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18" w:rsidRDefault="00F06018">
            <w:pPr>
              <w:jc w:val="center"/>
            </w:pPr>
            <w:r>
              <w:t>3,4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6" w:name="_GoBack"/>
      <w:bookmarkEnd w:id="26"/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2D" w:rsidRDefault="00DD3B2D">
      <w:r>
        <w:separator/>
      </w:r>
    </w:p>
  </w:endnote>
  <w:endnote w:type="continuationSeparator" w:id="0">
    <w:p w:rsidR="00DD3B2D" w:rsidRDefault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C36AF">
      <w:rPr>
        <w:rStyle w:val="af1"/>
        <w:noProof/>
      </w:rPr>
      <w:t>3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2D" w:rsidRDefault="00DD3B2D">
      <w:r>
        <w:separator/>
      </w:r>
    </w:p>
  </w:footnote>
  <w:footnote w:type="continuationSeparator" w:id="0">
    <w:p w:rsidR="00DD3B2D" w:rsidRDefault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C36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4BD3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957E0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D3B2D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D526C"/>
    <w:rsid w:val="00EE64D7"/>
    <w:rsid w:val="00F00B45"/>
    <w:rsid w:val="00F06018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21761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7</cp:revision>
  <cp:lastPrinted>2023-03-28T05:48:00Z</cp:lastPrinted>
  <dcterms:created xsi:type="dcterms:W3CDTF">2022-12-23T07:45:00Z</dcterms:created>
  <dcterms:modified xsi:type="dcterms:W3CDTF">2023-03-28T05:50:00Z</dcterms:modified>
</cp:coreProperties>
</file>