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50734">
        <w:rPr>
          <w:b/>
          <w:sz w:val="32"/>
          <w:szCs w:val="32"/>
        </w:rPr>
        <w:t>150922688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1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33A4B" wp14:editId="2A8046FC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</w:p>
                          <w:p w:rsidR="0019338B" w:rsidRPr="00BA7D77" w:rsidRDefault="0019338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338B" w:rsidRPr="007A2685" w:rsidRDefault="0019338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162FEF11" wp14:editId="47F31786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1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508C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B6083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18971159"/>
      <w:r w:rsidRPr="009E162D">
        <w:lastRenderedPageBreak/>
        <w:t>ОБЩИЕ УКАЗАНИЯ</w:t>
      </w:r>
      <w:bookmarkEnd w:id="2"/>
    </w:p>
    <w:p w:rsidR="004F124D" w:rsidRDefault="004F124D" w:rsidP="00DA32C2"/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DA32C2">
      <w:pPr>
        <w:ind w:firstLine="709"/>
        <w:jc w:val="both"/>
      </w:pPr>
    </w:p>
    <w:p w:rsidR="004F124D" w:rsidRPr="009E162D" w:rsidRDefault="004F124D" w:rsidP="00DA32C2">
      <w:pPr>
        <w:pStyle w:val="1"/>
      </w:pPr>
      <w:bookmarkStart w:id="3" w:name="_Toc118971160"/>
      <w:r w:rsidRPr="009E162D">
        <w:t>ОСНОВНЫЕ СВЕДЕНИЯ ОБ ИЗДЕЛИИ</w:t>
      </w:r>
      <w:bookmarkEnd w:id="3"/>
    </w:p>
    <w:p w:rsidR="00D8036E" w:rsidRDefault="00D8036E" w:rsidP="00DA32C2">
      <w:pPr>
        <w:jc w:val="center"/>
      </w:pPr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EA79BF">
        <w:rPr>
          <w:u w:val="single"/>
        </w:rPr>
        <w:t>27</w:t>
      </w:r>
      <w:r w:rsidR="0019338B">
        <w:rPr>
          <w:u w:val="single"/>
        </w:rPr>
        <w:t xml:space="preserve"> октября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50734">
        <w:rPr>
          <w:u w:val="single"/>
        </w:rPr>
        <w:t>150922688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DA32C2">
      <w:pPr>
        <w:tabs>
          <w:tab w:val="left" w:pos="1134"/>
        </w:tabs>
        <w:ind w:firstLine="567"/>
      </w:pPr>
    </w:p>
    <w:p w:rsidR="004F124D" w:rsidRPr="009E162D" w:rsidRDefault="004F124D" w:rsidP="00DA32C2">
      <w:pPr>
        <w:pStyle w:val="1"/>
      </w:pPr>
      <w:bookmarkStart w:id="4" w:name="_Toc118971161"/>
      <w:r w:rsidRPr="009E162D">
        <w:t>ОСНОВНЫЕ ТЕХНИЧЕСКИЕ ДАННЫЕ</w:t>
      </w:r>
      <w:bookmarkEnd w:id="4"/>
    </w:p>
    <w:p w:rsidR="004F124D" w:rsidRDefault="004F124D" w:rsidP="00DA32C2">
      <w:pPr>
        <w:rPr>
          <w:b/>
        </w:rPr>
      </w:pPr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C68892" wp14:editId="0E722F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856E54" wp14:editId="12E678B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B1C30C" wp14:editId="749470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E150D" wp14:editId="1A6A99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E7347" wp14:editId="21E926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FE021" wp14:editId="2CC5FF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rPr>
          <w:b/>
        </w:rPr>
      </w:pPr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0B6A15"/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Default="004F124D" w:rsidP="000B6A15">
      <w:pPr>
        <w:ind w:firstLine="709"/>
        <w:rPr>
          <w:b/>
        </w:rPr>
      </w:pPr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50734" w:rsidP="00B5035E">
            <w:pPr>
              <w:jc w:val="center"/>
            </w:pPr>
            <w:r>
              <w:t>150922688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7C4C96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B6E39" wp14:editId="693047A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50734">
              <w:rPr>
                <w:rFonts w:ascii="Times New Roman" w:hAnsi="Times New Roman"/>
                <w:spacing w:val="-4"/>
              </w:rPr>
              <w:t>150922688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50734">
              <w:rPr>
                <w:rFonts w:ascii="Times New Roman" w:hAnsi="Times New Roman"/>
                <w:spacing w:val="-4"/>
              </w:rPr>
              <w:t>150922688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E177C" wp14:editId="3FC7D40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46A7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594E64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spacing w:before="240" w:after="120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F93085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F93085">
            <w:pPr>
              <w:spacing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1B0B66" w:rsidRDefault="001B0B66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496B59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34865" wp14:editId="006D1360">
                <wp:simplePos x="0" y="0"/>
                <wp:positionH relativeFrom="column">
                  <wp:posOffset>3396615</wp:posOffset>
                </wp:positionH>
                <wp:positionV relativeFrom="paragraph">
                  <wp:posOffset>142240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B" w:rsidRPr="001B0B66" w:rsidRDefault="0019338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350734">
                              <w:rPr>
                                <w:b/>
                                <w:bCs/>
                                <w:color w:val="000000"/>
                              </w:rPr>
                              <w:t>150922688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7.45pt;margin-top:11.2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OY/I8LgAAAACgEA&#10;AA8AAAAAAAAAAAAAAAAACQUAAGRycy9kb3ducmV2LnhtbFBLBQYAAAAABAAEAPMAAAAWBgAAAAA=&#10;" filled="f" stroked="f">
                <v:textbox inset="0,0,0,0">
                  <w:txbxContent>
                    <w:p w:rsidR="0019338B" w:rsidRPr="001B0B66" w:rsidRDefault="0019338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350734">
                        <w:rPr>
                          <w:b/>
                          <w:bCs/>
                          <w:color w:val="000000"/>
                        </w:rPr>
                        <w:t>150922688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12ADF4" wp14:editId="44EA0D0F">
            <wp:extent cx="9624060" cy="5265420"/>
            <wp:effectExtent l="0" t="0" r="1524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350734">
        <w:t>150922688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24,2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-24,4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21,8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-11,6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18,3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-2,1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20,8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-1,0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22,8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-0,5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17,2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7,0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20,1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5,7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19,1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8,0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21,7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6,6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59" w:rsidRDefault="00496B59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4,2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4,9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29,3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4,4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31,7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4,5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33,4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4,8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34,8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5,0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36,7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4,4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37,8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4,5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39,4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3,9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4,6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41,2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3,8</w:t>
            </w:r>
          </w:p>
        </w:tc>
      </w:tr>
      <w:tr w:rsidR="00496B5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59" w:rsidRDefault="00496B59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B59" w:rsidRDefault="00496B59">
            <w:pPr>
              <w:jc w:val="center"/>
            </w:pPr>
            <w:r>
              <w:t>42,4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B59" w:rsidRDefault="00496B59">
            <w:pPr>
              <w:jc w:val="center"/>
            </w:pPr>
            <w:r>
              <w:t>3,4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167B0A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167B0A" w:rsidRDefault="00442E9C" w:rsidP="001506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 xml:space="preserve">Итого в формуляре пронумеровано </w:t>
            </w:r>
            <w:r w:rsidR="001506A3">
              <w:rPr>
                <w:rFonts w:ascii="Times New Roman" w:hAnsi="Times New Roman"/>
                <w:b/>
                <w:sz w:val="16"/>
                <w:szCs w:val="16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  <w:tr w:rsidR="00442E9C" w:rsidRPr="00167B0A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  <w:tr w:rsidR="00442E9C" w:rsidRPr="00167B0A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167B0A" w:rsidRDefault="00442E9C" w:rsidP="00446A78">
            <w:pPr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167B0A">
              <w:rPr>
                <w:rFonts w:ascii="Times New Roman" w:hAnsi="Times New Roman"/>
                <w:b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Ивлева Е.В.</w:t>
            </w:r>
          </w:p>
        </w:tc>
      </w:tr>
      <w:tr w:rsidR="00442E9C" w:rsidRPr="00167B0A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расшифровка подписи</w:t>
            </w:r>
          </w:p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  <w:tr w:rsidR="00442E9C" w:rsidRPr="00167B0A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CB" w:rsidRDefault="00B508CB">
      <w:r>
        <w:separator/>
      </w:r>
    </w:p>
  </w:endnote>
  <w:endnote w:type="continuationSeparator" w:id="0">
    <w:p w:rsidR="00B508CB" w:rsidRDefault="00B5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9689A">
      <w:rPr>
        <w:rStyle w:val="af1"/>
        <w:noProof/>
      </w:rPr>
      <w:t>13</w: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CB" w:rsidRDefault="00B508CB">
      <w:r>
        <w:separator/>
      </w:r>
    </w:p>
  </w:footnote>
  <w:footnote w:type="continuationSeparator" w:id="0">
    <w:p w:rsidR="00B508CB" w:rsidRDefault="00B5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02F5A"/>
    <w:rsid w:val="001101B6"/>
    <w:rsid w:val="001102E0"/>
    <w:rsid w:val="00114316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000F7"/>
    <w:rsid w:val="0022546A"/>
    <w:rsid w:val="0025428D"/>
    <w:rsid w:val="00262B18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B0E53"/>
    <w:rsid w:val="003B1FB0"/>
    <w:rsid w:val="003B51BD"/>
    <w:rsid w:val="003B7AEC"/>
    <w:rsid w:val="003C7D41"/>
    <w:rsid w:val="003E61D4"/>
    <w:rsid w:val="003E653C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094_&#1055;6-151_150922687(688)_&#1054;&#1054;&#1054;%20&#1053;&#1086;&#1074;&#1086;\&#1055;6-151_150922687(68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'688'!$A$5:$A$25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'688'!$B$5:$B$25</c:f>
              <c:numCache>
                <c:formatCode>0.0</c:formatCode>
                <c:ptCount val="21"/>
                <c:pt idx="0">
                  <c:v>24.2</c:v>
                </c:pt>
                <c:pt idx="1">
                  <c:v>21.8</c:v>
                </c:pt>
                <c:pt idx="2">
                  <c:v>18.3</c:v>
                </c:pt>
                <c:pt idx="3">
                  <c:v>20.8</c:v>
                </c:pt>
                <c:pt idx="4">
                  <c:v>22.8</c:v>
                </c:pt>
                <c:pt idx="5">
                  <c:v>17.2</c:v>
                </c:pt>
                <c:pt idx="6">
                  <c:v>20.100000000000001</c:v>
                </c:pt>
                <c:pt idx="7">
                  <c:v>19.100000000000001</c:v>
                </c:pt>
                <c:pt idx="8">
                  <c:v>21.7</c:v>
                </c:pt>
                <c:pt idx="9">
                  <c:v>25.1</c:v>
                </c:pt>
                <c:pt idx="10">
                  <c:v>25.3</c:v>
                </c:pt>
                <c:pt idx="11">
                  <c:v>29.3</c:v>
                </c:pt>
                <c:pt idx="12">
                  <c:v>31.7</c:v>
                </c:pt>
                <c:pt idx="13">
                  <c:v>33.4</c:v>
                </c:pt>
                <c:pt idx="14">
                  <c:v>34.799999999999997</c:v>
                </c:pt>
                <c:pt idx="15">
                  <c:v>36.700000000000003</c:v>
                </c:pt>
                <c:pt idx="16">
                  <c:v>37.799999999999997</c:v>
                </c:pt>
                <c:pt idx="17">
                  <c:v>39.4</c:v>
                </c:pt>
                <c:pt idx="18">
                  <c:v>39.6</c:v>
                </c:pt>
                <c:pt idx="19">
                  <c:v>41.2</c:v>
                </c:pt>
                <c:pt idx="20">
                  <c:v>42.4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959552"/>
        <c:axId val="193960128"/>
      </c:scatterChart>
      <c:valAx>
        <c:axId val="193959552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960128"/>
        <c:crosses val="autoZero"/>
        <c:crossBetween val="midCat"/>
        <c:majorUnit val="1000"/>
        <c:minorUnit val="100"/>
      </c:valAx>
      <c:valAx>
        <c:axId val="193960128"/>
        <c:scaling>
          <c:orientation val="minMax"/>
          <c:max val="43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95955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E62B-1098-41B6-A170-43EE6CC1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21818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2022-11-11T12:06:00Z</cp:lastPrinted>
  <dcterms:created xsi:type="dcterms:W3CDTF">2022-12-01T07:41:00Z</dcterms:created>
  <dcterms:modified xsi:type="dcterms:W3CDTF">2022-12-01T07:43:00Z</dcterms:modified>
</cp:coreProperties>
</file>