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2E416B">
        <w:rPr>
          <w:sz w:val="32"/>
          <w:szCs w:val="32"/>
          <w:u w:val="single"/>
        </w:rPr>
        <w:t>030120134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A90F" wp14:editId="18F86EDB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</w:p>
                          <w:p w:rsidR="00645D01" w:rsidRPr="00BA7D77" w:rsidRDefault="00645D01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45D01" w:rsidRPr="007A2685" w:rsidRDefault="00645D01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645D01" w:rsidRDefault="00645D01" w:rsidP="00815F73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45D01" w:rsidRDefault="00645D01" w:rsidP="00815F73">
                      <w:pPr>
                        <w:ind w:firstLine="567"/>
                        <w:jc w:val="both"/>
                      </w:pPr>
                    </w:p>
                    <w:p w:rsidR="00645D01" w:rsidRPr="00BA7D77" w:rsidRDefault="00645D01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45D01" w:rsidRPr="007A2685" w:rsidRDefault="00645D01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C18933" wp14:editId="54B9217F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15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20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23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F76BE7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0D4BAC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2E416B">
        <w:rPr>
          <w:sz w:val="28"/>
          <w:szCs w:val="28"/>
          <w:u w:val="single"/>
        </w:rPr>
        <w:t>24 августа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2E416B">
        <w:rPr>
          <w:sz w:val="28"/>
          <w:szCs w:val="28"/>
          <w:u w:val="single"/>
        </w:rPr>
        <w:t>030120134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6697A" w:rsidRPr="00A6697A" w:rsidRDefault="00A6697A" w:rsidP="009D2B68">
      <w:pPr>
        <w:ind w:left="709"/>
        <w:jc w:val="both"/>
        <w:rPr>
          <w:sz w:val="28"/>
          <w:szCs w:val="28"/>
        </w:rPr>
      </w:pP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B560EF" w:rsidP="007B6E16">
            <w:pPr>
              <w:tabs>
                <w:tab w:val="left" w:pos="1180"/>
              </w:tabs>
              <w:jc w:val="center"/>
            </w:pPr>
            <w:r>
              <w:t>5,5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 xml:space="preserve">Пределы допускаемой погрешности измерений </w:t>
            </w:r>
            <w:r w:rsidRPr="009F75FB">
              <w:lastRenderedPageBreak/>
              <w:t>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lastRenderedPageBreak/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F5721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560EF" w:rsidP="00BC6CA8">
            <w:pPr>
              <w:tabs>
                <w:tab w:val="left" w:pos="1180"/>
              </w:tabs>
              <w:jc w:val="center"/>
            </w:pPr>
            <w:r>
              <w:t>26,5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B560EF">
              <w:t>6</w:t>
            </w:r>
          </w:p>
          <w:p w:rsidR="00D50BEA" w:rsidRPr="003269A0" w:rsidRDefault="00B560EF" w:rsidP="002F7B1E">
            <w:pPr>
              <w:tabs>
                <w:tab w:val="left" w:pos="1180"/>
              </w:tabs>
              <w:jc w:val="center"/>
            </w:pPr>
            <w:r>
              <w:t>2,1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B560EF"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536610977"/>
      <w:r w:rsidRPr="003F3C96">
        <w:t>ИНДИВИДУАЛЬНЫЕ ОСОБЕННОСТИ ИЗДЕЛИЯ</w:t>
      </w:r>
      <w:bookmarkEnd w:id="16"/>
      <w:bookmarkEnd w:id="17"/>
      <w:bookmarkEnd w:id="18"/>
      <w:bookmarkEnd w:id="19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536610978"/>
      <w:r w:rsidRPr="003F3C96">
        <w:t>КОМПЛЕКТНОСТЬ</w:t>
      </w:r>
      <w:bookmarkEnd w:id="20"/>
      <w:bookmarkEnd w:id="21"/>
      <w:bookmarkEnd w:id="22"/>
      <w:bookmarkEnd w:id="23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E416B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2E416B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030120134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B6E16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B6E16">
              <w:rPr>
                <w:sz w:val="22"/>
                <w:szCs w:val="22"/>
                <w:lang w:eastAsia="en-US"/>
              </w:rPr>
              <w:t>10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Pr="00815F73" w:rsidRDefault="009670E7" w:rsidP="00815F73">
      <w:pPr>
        <w:ind w:firstLine="709"/>
        <w:jc w:val="both"/>
      </w:pPr>
      <w:r w:rsidRPr="00815F73">
        <w:t>*</w:t>
      </w:r>
      <w:r w:rsidR="001A0549" w:rsidRPr="00815F73">
        <w:t xml:space="preserve"> п</w:t>
      </w:r>
      <w:r w:rsidR="005C24C2" w:rsidRPr="00815F73">
        <w:t>окупные изделия</w:t>
      </w:r>
      <w:r w:rsidR="00B651D8" w:rsidRPr="00815F73">
        <w:t>.</w:t>
      </w:r>
    </w:p>
    <w:p w:rsidR="00415855" w:rsidRPr="00815F73" w:rsidRDefault="00415855" w:rsidP="00815F73">
      <w:pPr>
        <w:ind w:firstLine="709"/>
        <w:jc w:val="both"/>
      </w:pPr>
      <w:r w:rsidRPr="00815F73">
        <w:t xml:space="preserve">** покупные изделия, тип по согласованию </w:t>
      </w:r>
      <w:r w:rsidR="00815F73" w:rsidRPr="00815F73">
        <w:t>с З</w:t>
      </w:r>
      <w:r w:rsidRPr="00815F73">
        <w:t>аказчиком.</w:t>
      </w:r>
    </w:p>
    <w:p w:rsidR="00815F73" w:rsidRPr="00815F73" w:rsidRDefault="00815F73" w:rsidP="00815F73">
      <w:pPr>
        <w:ind w:firstLine="709"/>
        <w:jc w:val="both"/>
      </w:pPr>
      <w:r w:rsidRPr="00815F73">
        <w:t xml:space="preserve">***Ознакомиться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815F73" w:rsidRDefault="00815F73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4" w:name="_Toc490575381"/>
      <w:bookmarkStart w:id="25" w:name="_Toc490575462"/>
      <w:bookmarkStart w:id="26" w:name="_Toc490575543"/>
      <w:bookmarkStart w:id="27" w:name="_Toc536610979"/>
      <w:r w:rsidRPr="00B12ADF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>
        <w:t xml:space="preserve"> </w:t>
      </w:r>
      <w:r w:rsidRPr="00B12ADF">
        <w:t>ГАРАНТИИ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10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536610980"/>
      <w:r w:rsidRPr="0025303B">
        <w:lastRenderedPageBreak/>
        <w:t>КОНСЕРВАЦИЯ</w:t>
      </w:r>
      <w:bookmarkEnd w:id="30"/>
      <w:bookmarkEnd w:id="31"/>
      <w:bookmarkEnd w:id="32"/>
      <w:bookmarkEnd w:id="33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536610981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E416B">
              <w:t>030120134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6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7B6E16" w:rsidRPr="006348EF" w:rsidRDefault="000D4BAC" w:rsidP="007B6E16">
            <w:pPr>
              <w:jc w:val="center"/>
            </w:pPr>
            <w:r>
              <w:t>Инженер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B6E16" w:rsidRDefault="000D4BAC" w:rsidP="007B6E16">
            <w:pPr>
              <w:jc w:val="center"/>
            </w:pPr>
            <w:r>
              <w:t>Мальцев Н.А.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536610982"/>
      <w:r w:rsidRPr="0025303B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2E416B">
              <w:t>030120134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D4BAC" w:rsidRPr="001756A0" w:rsidTr="00CD6A5D">
        <w:trPr>
          <w:jc w:val="center"/>
        </w:trPr>
        <w:tc>
          <w:tcPr>
            <w:tcW w:w="9853" w:type="dxa"/>
            <w:gridSpan w:val="5"/>
            <w:vAlign w:val="center"/>
          </w:tcPr>
          <w:p w:rsidR="000D4BAC" w:rsidRPr="001756A0" w:rsidRDefault="000D4BAC" w:rsidP="00CD6A5D">
            <w:pPr>
              <w:jc w:val="center"/>
              <w:rPr>
                <w:b/>
              </w:rPr>
            </w:pPr>
          </w:p>
          <w:p w:rsidR="000D4BAC" w:rsidRPr="001756A0" w:rsidRDefault="000D4BAC" w:rsidP="00CD6A5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b/>
              </w:rPr>
            </w:pPr>
          </w:p>
          <w:p w:rsidR="000D4BAC" w:rsidRPr="001756A0" w:rsidRDefault="000D4BAC" w:rsidP="00CD6A5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D4BAC" w:rsidRPr="001756A0" w:rsidRDefault="000D4BAC" w:rsidP="00CD6A5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D4BAC" w:rsidRPr="001756A0" w:rsidRDefault="000D4BAC" w:rsidP="00CD6A5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b/>
              </w:rPr>
            </w:pPr>
          </w:p>
          <w:p w:rsidR="000D4BAC" w:rsidRPr="001756A0" w:rsidRDefault="000D4BAC" w:rsidP="00CD6A5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D4BAC" w:rsidRPr="001756A0" w:rsidRDefault="000D4BAC" w:rsidP="00CD6A5D">
            <w:pPr>
              <w:jc w:val="center"/>
            </w:pPr>
          </w:p>
        </w:tc>
        <w:tc>
          <w:tcPr>
            <w:tcW w:w="1397" w:type="dxa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D4BAC" w:rsidRPr="001756A0" w:rsidRDefault="000D4BAC" w:rsidP="00CD6A5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D4BAC" w:rsidRPr="001756A0" w:rsidRDefault="000D4BAC" w:rsidP="00CD6A5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  <w:tr w:rsidR="000D4BAC" w:rsidRPr="001756A0" w:rsidTr="00CD6A5D">
        <w:trPr>
          <w:jc w:val="center"/>
        </w:trPr>
        <w:tc>
          <w:tcPr>
            <w:tcW w:w="1970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D4BAC" w:rsidRPr="001756A0" w:rsidRDefault="000D4BAC" w:rsidP="00CD6A5D">
            <w:pPr>
              <w:jc w:val="center"/>
            </w:pPr>
          </w:p>
        </w:tc>
        <w:tc>
          <w:tcPr>
            <w:tcW w:w="1397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D4BAC" w:rsidRPr="001756A0" w:rsidRDefault="000D4BAC" w:rsidP="00CD6A5D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  <w:bookmarkStart w:id="42" w:name="_GoBack"/>
      <w:bookmarkEnd w:id="42"/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815F73">
      <w:pPr>
        <w:pStyle w:val="10"/>
      </w:pPr>
      <w:r>
        <w:rPr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5F7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E7" w:rsidRDefault="00F76BE7">
      <w:r>
        <w:separator/>
      </w:r>
    </w:p>
  </w:endnote>
  <w:endnote w:type="continuationSeparator" w:id="0">
    <w:p w:rsidR="00F76BE7" w:rsidRDefault="00F7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D01" w:rsidRDefault="00645D0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4BAC">
      <w:rPr>
        <w:rStyle w:val="a8"/>
        <w:noProof/>
      </w:rPr>
      <w:t>11</w:t>
    </w:r>
    <w:r>
      <w:rPr>
        <w:rStyle w:val="a8"/>
      </w:rPr>
      <w:fldChar w:fldCharType="end"/>
    </w:r>
  </w:p>
  <w:p w:rsidR="00645D01" w:rsidRDefault="00645D01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E7" w:rsidRDefault="00F76BE7">
      <w:r>
        <w:separator/>
      </w:r>
    </w:p>
  </w:footnote>
  <w:footnote w:type="continuationSeparator" w:id="0">
    <w:p w:rsidR="00F76BE7" w:rsidRDefault="00F7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4BA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416B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2B68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2A2A"/>
    <w:rsid w:val="00A6697A"/>
    <w:rsid w:val="00A931E1"/>
    <w:rsid w:val="00AA03DA"/>
    <w:rsid w:val="00AA0676"/>
    <w:rsid w:val="00AA22D7"/>
    <w:rsid w:val="00AB1611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60EF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6BE7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22860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29</cp:revision>
  <cp:lastPrinted>2022-09-06T10:52:00Z</cp:lastPrinted>
  <dcterms:created xsi:type="dcterms:W3CDTF">2021-08-12T08:46:00Z</dcterms:created>
  <dcterms:modified xsi:type="dcterms:W3CDTF">2022-09-06T10:56:00Z</dcterms:modified>
</cp:coreProperties>
</file>