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62AD0">
        <w:rPr>
          <w:b/>
          <w:sz w:val="32"/>
          <w:szCs w:val="32"/>
        </w:rPr>
        <w:t>150122433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B01272" wp14:editId="25C07C1A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29" w:rsidRDefault="00F23929" w:rsidP="00F2392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23929" w:rsidRDefault="00F23929" w:rsidP="00F23929">
                            <w:pPr>
                              <w:ind w:firstLine="567"/>
                              <w:jc w:val="both"/>
                            </w:pPr>
                          </w:p>
                          <w:p w:rsidR="00F23929" w:rsidRPr="00F23929" w:rsidRDefault="00F23929" w:rsidP="00F2392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F23929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логопериодической П6-122, вы можете, отсканировав данный </w:t>
                            </w:r>
                            <w:r w:rsidRPr="00F23929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F23929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F23929" w:rsidRDefault="00F23929" w:rsidP="00F2392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23929" w:rsidRDefault="00F23929" w:rsidP="00F23929">
                      <w:pPr>
                        <w:ind w:firstLine="567"/>
                        <w:jc w:val="both"/>
                      </w:pPr>
                    </w:p>
                    <w:p w:rsidR="00F23929" w:rsidRPr="00F23929" w:rsidRDefault="00F23929" w:rsidP="00F2392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F23929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логопериодической П6-122, вы можете, отсканировав данный </w:t>
                      </w:r>
                      <w:r w:rsidRPr="00F23929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F23929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465BF5E" wp14:editId="2E6B75C1">
            <wp:extent cx="1872000" cy="1872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3961D6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EE3A4C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D62AD0">
        <w:rPr>
          <w:u w:val="single"/>
        </w:rPr>
        <w:t>14</w:t>
      </w:r>
      <w:r w:rsidR="00F23929">
        <w:rPr>
          <w:u w:val="single"/>
        </w:rPr>
        <w:t xml:space="preserve"> июня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62AD0">
        <w:rPr>
          <w:u w:val="single"/>
        </w:rPr>
        <w:t>150122433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64476D">
      <w:pPr>
        <w:ind w:firstLine="709"/>
      </w:pPr>
    </w:p>
    <w:p w:rsidR="004F124D" w:rsidRPr="009E162D" w:rsidRDefault="004F124D" w:rsidP="0064476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64476D">
      <w:pPr>
        <w:rPr>
          <w:b/>
        </w:rPr>
      </w:pPr>
    </w:p>
    <w:p w:rsidR="004F124D" w:rsidRDefault="004F124D" w:rsidP="0064476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692"/>
      </w:tblGrid>
      <w:tr w:rsidR="004A574E" w:rsidTr="00863EC3">
        <w:trPr>
          <w:tblHeader/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863EC3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863EC3">
              <w:rPr>
                <w:lang w:val="en-US"/>
              </w:rPr>
              <w:t xml:space="preserve"> </w:t>
            </w:r>
            <w:r>
              <w:t>по ТУ</w:t>
            </w:r>
          </w:p>
        </w:tc>
      </w:tr>
      <w:tr w:rsidR="004A574E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863EC3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863EC3" w:rsidRPr="00863EC3">
              <w:rPr>
                <w:color w:val="000000"/>
              </w:rPr>
              <w:t>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863EC3">
              <w:t xml:space="preserve"> (</w:t>
            </w:r>
            <w:r w:rsidR="00863EC3"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</w:p>
        </w:tc>
      </w:tr>
      <w:tr w:rsidR="0064476D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863EC3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863EC3" w:rsidRPr="00863EC3" w:rsidRDefault="00863EC3" w:rsidP="0064476D">
      <w:pPr>
        <w:ind w:firstLine="709"/>
        <w:jc w:val="both"/>
      </w:pPr>
      <w:r>
        <w:t>*</w:t>
      </w:r>
      <w:bookmarkStart w:id="4" w:name="_GoBack"/>
      <w:bookmarkEnd w:id="4"/>
      <w:r>
        <w:t>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2A9513" wp14:editId="37A5FC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5EAA3" wp14:editId="106772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B87B9" wp14:editId="2E82A3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919F6" wp14:editId="77C5ED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145A2" wp14:editId="204941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544A68" wp14:editId="7DB753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9961143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99611436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D62AD0" w:rsidP="00F852FC">
            <w:pPr>
              <w:jc w:val="center"/>
            </w:pPr>
            <w:r>
              <w:t>150122433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D62AD0">
      <w:pPr>
        <w:ind w:firstLine="709"/>
        <w:jc w:val="both"/>
      </w:pPr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D62AD0" w:rsidRDefault="00D62AD0" w:rsidP="00D62AD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AD0">
              <w:rPr>
                <w:rFonts w:eastAsia="Calibri"/>
                <w:spacing w:val="-4"/>
              </w:rPr>
              <w:t>150122433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D62AD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D62AD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Белоусов С.И.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AD0">
              <w:rPr>
                <w:rFonts w:eastAsia="Calibri"/>
                <w:spacing w:val="-4"/>
              </w:rPr>
              <w:t>150122433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A7676E" wp14:editId="0737B56A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840484" w:rsidP="004F124D">
      <w:pPr>
        <w:jc w:val="center"/>
        <w:rPr>
          <w:noProof/>
        </w:rPr>
      </w:pPr>
    </w:p>
    <w:p w:rsidR="00D62AD0" w:rsidRDefault="00D62AD0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7B7D41" wp14:editId="6F81125C">
                <wp:simplePos x="0" y="0"/>
                <wp:positionH relativeFrom="column">
                  <wp:posOffset>3372485</wp:posOffset>
                </wp:positionH>
                <wp:positionV relativeFrom="paragraph">
                  <wp:posOffset>212090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D62AD0">
                              <w:rPr>
                                <w:b/>
                                <w:bCs/>
                                <w:color w:val="000000"/>
                              </w:rPr>
                              <w:t>150122433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5.55pt;margin-top:16.7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mSOa23wAAAAoBAAAP&#10;AAAAAAAAAAAAAAAAAAgFAABkcnMvZG93bnJldi54bWxQSwUGAAAAAAQABADzAAAAFAYAAAAA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D62AD0">
                        <w:rPr>
                          <w:b/>
                          <w:bCs/>
                          <w:color w:val="000000"/>
                        </w:rPr>
                        <w:t>150122433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1DE850" wp14:editId="4FA9E6ED">
            <wp:extent cx="9456420" cy="5166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223B" w:rsidRDefault="00D62AD0" w:rsidP="0006223B">
      <w:pPr>
        <w:jc w:val="center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45D5A0" wp14:editId="2E213617">
                <wp:simplePos x="0" y="0"/>
                <wp:positionH relativeFrom="column">
                  <wp:posOffset>3131820</wp:posOffset>
                </wp:positionH>
                <wp:positionV relativeFrom="paragraph">
                  <wp:posOffset>-592455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D62AD0">
                              <w:rPr>
                                <w:b/>
                                <w:bCs/>
                                <w:color w:val="000000"/>
                              </w:rPr>
                              <w:t>150122433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46.6pt;margin-top:-46.6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D62AD0">
                        <w:rPr>
                          <w:b/>
                          <w:bCs/>
                          <w:color w:val="000000"/>
                        </w:rPr>
                        <w:t>150122433</w:t>
                      </w:r>
                    </w:p>
                  </w:txbxContent>
                </v:textbox>
              </v:rect>
            </w:pict>
          </mc:Fallback>
        </mc:AlternateContent>
      </w:r>
      <w:r w:rsidR="0006223B" w:rsidRPr="00C674EE">
        <w:t xml:space="preserve">График зависимости коэффициента </w:t>
      </w:r>
      <w:r w:rsidR="007C286B">
        <w:t>калибровки</w:t>
      </w:r>
      <w:r w:rsidR="0006223B" w:rsidRPr="00C674EE">
        <w:t xml:space="preserve"> антенны измерительной логопериодической П6-122 от частоты</w:t>
      </w:r>
    </w:p>
    <w:p w:rsidR="0006223B" w:rsidRDefault="0006223B" w:rsidP="004F124D">
      <w:pPr>
        <w:jc w:val="center"/>
        <w:rPr>
          <w:noProof/>
        </w:rPr>
      </w:pPr>
    </w:p>
    <w:p w:rsidR="00D62AD0" w:rsidRPr="004D5C28" w:rsidRDefault="00D62AD0" w:rsidP="004F124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B3C122" wp14:editId="3F415F93">
            <wp:extent cx="9433560" cy="5364480"/>
            <wp:effectExtent l="0" t="0" r="1524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1002" w:rsidRPr="00D62AD0" w:rsidRDefault="008C1002" w:rsidP="00D62AD0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D62AD0">
        <w:rPr>
          <w:bCs/>
          <w:color w:val="000000"/>
        </w:rPr>
        <w:t>150122433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5,3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D62AD0" w:rsidRDefault="00D62AD0">
            <w:pPr>
              <w:jc w:val="center"/>
            </w:pPr>
            <w:r>
              <w:t>14,5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18,6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22,0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23,6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26,2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28,1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30,2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31,0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32,0</w:t>
            </w:r>
          </w:p>
        </w:tc>
      </w:tr>
      <w:tr w:rsidR="00D62AD0" w:rsidRPr="00FA7D0C" w:rsidTr="000E429B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D62AD0" w:rsidRDefault="00D62AD0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D62AD0" w:rsidRDefault="00D62AD0">
            <w:pPr>
              <w:jc w:val="center"/>
            </w:pPr>
            <w:r>
              <w:t>33,9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D6" w:rsidRDefault="003961D6">
      <w:r>
        <w:separator/>
      </w:r>
    </w:p>
  </w:endnote>
  <w:endnote w:type="continuationSeparator" w:id="0">
    <w:p w:rsidR="003961D6" w:rsidRDefault="003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3EC3">
      <w:rPr>
        <w:rStyle w:val="af1"/>
        <w:noProof/>
      </w:rPr>
      <w:t>5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D6" w:rsidRDefault="003961D6">
      <w:r>
        <w:separator/>
      </w:r>
    </w:p>
  </w:footnote>
  <w:footnote w:type="continuationSeparator" w:id="0">
    <w:p w:rsidR="003961D6" w:rsidRDefault="0039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A1FF5"/>
    <w:rsid w:val="000A262F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1D6"/>
    <w:rsid w:val="003969C3"/>
    <w:rsid w:val="003A33AE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86B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3EC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202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62AD0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3A4C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27_&#1055;6-122_150122433_&#1054;&#1054;&#1054;%20&#1053;&#1054;&#1042;&#1054;\&#1043;&#1088;&#1072;&#1092;&#1080;&#1082;%20&#1055;6-122_1501224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27_&#1055;6-122_150122433_&#1054;&#1054;&#1054;%20&#1053;&#1054;&#1042;&#1054;\&#1043;&#1088;&#1072;&#1092;&#1080;&#1082;%20&#1055;6-122_1501224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5.3</c:v>
                </c:pt>
                <c:pt idx="1">
                  <c:v>7.2</c:v>
                </c:pt>
                <c:pt idx="2">
                  <c:v>7.3</c:v>
                </c:pt>
                <c:pt idx="3">
                  <c:v>8.1999999999999993</c:v>
                </c:pt>
                <c:pt idx="4">
                  <c:v>7.5</c:v>
                </c:pt>
                <c:pt idx="5">
                  <c:v>7.2</c:v>
                </c:pt>
                <c:pt idx="6">
                  <c:v>6.5</c:v>
                </c:pt>
                <c:pt idx="7">
                  <c:v>6.8</c:v>
                </c:pt>
                <c:pt idx="8">
                  <c:v>6.9</c:v>
                </c:pt>
                <c:pt idx="9">
                  <c:v>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047936"/>
        <c:axId val="193050240"/>
      </c:scatterChart>
      <c:valAx>
        <c:axId val="19304793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50240"/>
        <c:crosses val="autoZero"/>
        <c:crossBetween val="midCat"/>
      </c:valAx>
      <c:valAx>
        <c:axId val="193050240"/>
        <c:scaling>
          <c:orientation val="minMax"/>
          <c:max val="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4793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Кк</a:t>
            </a:r>
          </a:p>
        </c:rich>
      </c:tx>
      <c:layout>
        <c:manualLayout>
          <c:xMode val="edge"/>
          <c:yMode val="edge"/>
          <c:x val="0.48886757983906415"/>
          <c:y val="2.90598290598290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Лист1!$D$6:$D$15</c:f>
              <c:numCache>
                <c:formatCode>0.0</c:formatCode>
                <c:ptCount val="10"/>
                <c:pt idx="0">
                  <c:v>14.468425094393254</c:v>
                </c:pt>
                <c:pt idx="1">
                  <c:v>18.589025007672866</c:v>
                </c:pt>
                <c:pt idx="2">
                  <c:v>22.010850188786499</c:v>
                </c:pt>
                <c:pt idx="3">
                  <c:v>23.609624920952498</c:v>
                </c:pt>
                <c:pt idx="4">
                  <c:v>26.247825181113626</c:v>
                </c:pt>
                <c:pt idx="5">
                  <c:v>28.131450102066111</c:v>
                </c:pt>
                <c:pt idx="6">
                  <c:v>30.170385894678375</c:v>
                </c:pt>
                <c:pt idx="7">
                  <c:v>31.030224834232115</c:v>
                </c:pt>
                <c:pt idx="8">
                  <c:v>31.953275283179742</c:v>
                </c:pt>
                <c:pt idx="9">
                  <c:v>33.868425094393238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051968"/>
        <c:axId val="181231616"/>
      </c:scatterChart>
      <c:valAx>
        <c:axId val="193051968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231616"/>
        <c:crosses val="autoZero"/>
        <c:crossBetween val="midCat"/>
      </c:valAx>
      <c:valAx>
        <c:axId val="181231616"/>
        <c:scaling>
          <c:orientation val="minMax"/>
          <c:max val="36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5196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707A-BDD6-4165-9EF4-F58CBDDA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20652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25</cp:revision>
  <cp:lastPrinted>2022-09-20T12:44:00Z</cp:lastPrinted>
  <dcterms:created xsi:type="dcterms:W3CDTF">2022-03-31T10:46:00Z</dcterms:created>
  <dcterms:modified xsi:type="dcterms:W3CDTF">2022-09-20T12:46:00Z</dcterms:modified>
</cp:coreProperties>
</file>