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8495" cy="636905"/>
                  <wp:effectExtent l="0" t="0" r="8255" b="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A7304">
        <w:rPr>
          <w:b/>
          <w:sz w:val="32"/>
          <w:szCs w:val="32"/>
        </w:rPr>
        <w:t>150821004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1B402E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6" w:history="1">
        <w:r w:rsidR="001B402E" w:rsidRPr="00DE0B9A">
          <w:rPr>
            <w:rStyle w:val="af3"/>
            <w:noProof/>
          </w:rPr>
          <w:t>1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ОБЩИЕ УКАЗАНИЯ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7" w:history="1">
        <w:r w:rsidR="001B402E" w:rsidRPr="00DE0B9A">
          <w:rPr>
            <w:rStyle w:val="af3"/>
            <w:noProof/>
          </w:rPr>
          <w:t>2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ОСНОВНЫЕ СВЕДЕНИЯ ОБ ИЗДЕЛИИ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8" w:history="1">
        <w:r w:rsidR="001B402E" w:rsidRPr="00DE0B9A">
          <w:rPr>
            <w:rStyle w:val="af3"/>
            <w:noProof/>
          </w:rPr>
          <w:t>3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ОСНОВНЫЕ ТЕХНИЧЕСКИЕ ДАННЫЕ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_Toc82777298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299" w:history="1">
        <w:r w:rsidR="001B402E" w:rsidRPr="00DE0B9A">
          <w:rPr>
            <w:rStyle w:val="af3"/>
            <w:noProof/>
          </w:rPr>
          <w:t>4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ИНДИВИДУАЛЬНЫЕ ОСОБЕННОСТИ ИЗДЕЛИЯ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_Toc82777299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0" w:history="1">
        <w:r w:rsidR="001B402E" w:rsidRPr="00DE0B9A">
          <w:rPr>
            <w:rStyle w:val="af3"/>
            <w:noProof/>
          </w:rPr>
          <w:t>5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КОМПЛЕКТНОСТЬ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_Toc82777300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1" w:history="1">
        <w:r w:rsidR="001B402E" w:rsidRPr="00DE0B9A">
          <w:rPr>
            <w:rStyle w:val="af3"/>
            <w:noProof/>
          </w:rPr>
          <w:t>6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РЕСУРСЫ, СРОКИ СЛУЖБЫ И ХРАНЕНИЯ. ГАРАНТИИ ИЗГОТОВИТЕЛЯ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_Toc82777301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2" w:history="1">
        <w:r w:rsidR="001B402E" w:rsidRPr="00DE0B9A">
          <w:rPr>
            <w:rStyle w:val="af3"/>
            <w:noProof/>
          </w:rPr>
          <w:t>7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КОНСЕРВАЦИЯ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_Toc82777302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7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3" w:history="1">
        <w:r w:rsidR="001B402E" w:rsidRPr="00DE0B9A">
          <w:rPr>
            <w:rStyle w:val="af3"/>
            <w:noProof/>
          </w:rPr>
          <w:t>8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СВИДЕТЕЛЬСТВО ОБ УПАКОВЫВАНИИ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_Toc82777303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4" w:history="1">
        <w:r w:rsidR="001B402E" w:rsidRPr="00DE0B9A">
          <w:rPr>
            <w:rStyle w:val="af3"/>
            <w:noProof/>
          </w:rPr>
          <w:t>9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СВИДЕТЕЛЬСТВО О ПРИЕМКЕ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_Toc82777304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5" w:history="1">
        <w:r w:rsidR="001B402E" w:rsidRPr="00DE0B9A">
          <w:rPr>
            <w:rStyle w:val="af3"/>
            <w:noProof/>
          </w:rPr>
          <w:t>10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ДВИЖЕНИЕ ИЗДЕЛИЯ ПРИ ЭКСПЛУАТАЦИИ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_Toc82777305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6" w:history="1">
        <w:r w:rsidR="001B402E" w:rsidRPr="00DE0B9A">
          <w:rPr>
            <w:rStyle w:val="af3"/>
            <w:noProof/>
          </w:rPr>
          <w:t>11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РАБОТЫ ИЗДЕЛИЯ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13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7" w:history="1">
        <w:r w:rsidR="001B402E" w:rsidRPr="00DE0B9A">
          <w:rPr>
            <w:rStyle w:val="af3"/>
            <w:noProof/>
          </w:rPr>
          <w:t>12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ТЕХНИЧЕСКОГО ОБСЛУЖИВАНИЯ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15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8" w:history="1">
        <w:r w:rsidR="001B402E" w:rsidRPr="00DE0B9A">
          <w:rPr>
            <w:rStyle w:val="af3"/>
            <w:noProof/>
          </w:rPr>
          <w:t>13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УЧЕТ РАБОТЫ ПО БЮЛЛЕТЕНЯМ И УКАЗАНИЯМ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_Toc82777308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09" w:history="1">
        <w:r w:rsidR="001B402E" w:rsidRPr="00DE0B9A">
          <w:rPr>
            <w:rStyle w:val="af3"/>
            <w:noProof/>
          </w:rPr>
          <w:t>14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РАБОТЫ ПРИ ЭКСПЛУАТАЦИИ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_Toc82777309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17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0" w:history="1">
        <w:r w:rsidR="001B402E" w:rsidRPr="00DE0B9A">
          <w:rPr>
            <w:rStyle w:val="af3"/>
            <w:noProof/>
          </w:rPr>
          <w:t>15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ПЕРИОДИЧЕСКАЯ ПОВЕРКА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_Toc82777310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1" w:history="1">
        <w:r w:rsidR="001B402E" w:rsidRPr="00DE0B9A">
          <w:rPr>
            <w:rStyle w:val="af3"/>
            <w:noProof/>
          </w:rPr>
          <w:t>16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СВЕДЕНИЯ О ХРАНЕНИИ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_Toc82777311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19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2" w:history="1">
        <w:r w:rsidR="001B402E" w:rsidRPr="00DE0B9A">
          <w:rPr>
            <w:rStyle w:val="af3"/>
            <w:noProof/>
          </w:rPr>
          <w:t>17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РЕМОНТ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_Toc82777312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20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3" w:history="1">
        <w:r w:rsidR="001B402E" w:rsidRPr="00DE0B9A">
          <w:rPr>
            <w:rStyle w:val="af3"/>
            <w:noProof/>
          </w:rPr>
          <w:t>18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ОСОБЫЕ ОТМЕТКИ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_Toc82777313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26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4" w:history="1">
        <w:r w:rsidR="001B402E" w:rsidRPr="00DE0B9A">
          <w:rPr>
            <w:rStyle w:val="af3"/>
            <w:noProof/>
          </w:rPr>
          <w:t>19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СВЕДЕНИЯ ОБ УТИЛИЗАЦИИ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_Toc82777314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28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5" w:history="1">
        <w:r w:rsidR="001B402E" w:rsidRPr="00DE0B9A">
          <w:rPr>
            <w:rStyle w:val="af3"/>
            <w:noProof/>
          </w:rPr>
          <w:t>20</w:t>
        </w:r>
        <w:r w:rsidR="001B40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B402E" w:rsidRPr="00DE0B9A">
          <w:rPr>
            <w:rStyle w:val="af3"/>
            <w:noProof/>
          </w:rPr>
          <w:t>КОНТРОЛЬ СОСТОЯНИЯ ИЗДЕЛИЯ И ВЕДЕНИЯ ФОРМУЛЯРА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_Toc82777315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29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6" w:history="1">
        <w:r w:rsidR="001B402E" w:rsidRPr="00DE0B9A">
          <w:rPr>
            <w:rStyle w:val="af3"/>
            <w:noProof/>
          </w:rPr>
          <w:t>ПРИЛОЖЕНИЕ А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_Toc82777316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30</w:t>
        </w:r>
        <w:r w:rsidR="001B402E">
          <w:rPr>
            <w:noProof/>
            <w:webHidden/>
          </w:rPr>
          <w:fldChar w:fldCharType="end"/>
        </w:r>
      </w:hyperlink>
    </w:p>
    <w:p w:rsidR="001B402E" w:rsidRDefault="00CD6F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7317" w:history="1">
        <w:r w:rsidR="001B402E" w:rsidRPr="00DE0B9A">
          <w:rPr>
            <w:rStyle w:val="af3"/>
            <w:noProof/>
          </w:rPr>
          <w:t>ПРИЛОЖЕНИЕ Б</w:t>
        </w:r>
        <w:r w:rsidR="001B402E">
          <w:rPr>
            <w:noProof/>
            <w:webHidden/>
          </w:rPr>
          <w:tab/>
        </w:r>
        <w:r w:rsidR="001B402E">
          <w:rPr>
            <w:noProof/>
            <w:webHidden/>
          </w:rPr>
          <w:fldChar w:fldCharType="begin"/>
        </w:r>
        <w:r w:rsidR="001B402E">
          <w:rPr>
            <w:noProof/>
            <w:webHidden/>
          </w:rPr>
          <w:instrText xml:space="preserve"> PAGEREF _Toc82777317 \h </w:instrText>
        </w:r>
        <w:r w:rsidR="001B402E">
          <w:rPr>
            <w:noProof/>
            <w:webHidden/>
          </w:rPr>
        </w:r>
        <w:r w:rsidR="001B402E">
          <w:rPr>
            <w:noProof/>
            <w:webHidden/>
          </w:rPr>
          <w:fldChar w:fldCharType="separate"/>
        </w:r>
        <w:r w:rsidR="00A40C85">
          <w:rPr>
            <w:noProof/>
            <w:webHidden/>
          </w:rPr>
          <w:t>31</w:t>
        </w:r>
        <w:r w:rsidR="001B402E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1" w:name="_Toc82777296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</w:t>
      </w:r>
      <w:bookmarkStart w:id="2" w:name="_GoBack"/>
      <w:bookmarkEnd w:id="2"/>
      <w:r>
        <w:t>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2777297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</w:t>
      </w:r>
      <w:proofErr w:type="spellStart"/>
      <w:r>
        <w:t>Электроникс</w:t>
      </w:r>
      <w:proofErr w:type="spellEnd"/>
      <w:r>
        <w:t>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C24981">
        <w:rPr>
          <w:u w:val="single"/>
        </w:rPr>
        <w:t>2</w:t>
      </w:r>
      <w:r w:rsidR="00AA7304">
        <w:rPr>
          <w:u w:val="single"/>
        </w:rPr>
        <w:t>0</w:t>
      </w:r>
      <w:r w:rsidR="00A33CB2">
        <w:rPr>
          <w:u w:val="single"/>
        </w:rPr>
        <w:t xml:space="preserve"> </w:t>
      </w:r>
      <w:r w:rsidR="0015017D">
        <w:rPr>
          <w:u w:val="single"/>
        </w:rPr>
        <w:t>ию</w:t>
      </w:r>
      <w:r w:rsidR="003452B8">
        <w:rPr>
          <w:u w:val="single"/>
        </w:rPr>
        <w:t>ля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AA7304">
        <w:rPr>
          <w:u w:val="single"/>
        </w:rPr>
        <w:t>150821004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proofErr w:type="spellStart"/>
      <w:r w:rsidRPr="009535A0">
        <w:t>Элект</w:t>
      </w:r>
      <w:r>
        <w:t>роникс</w:t>
      </w:r>
      <w:proofErr w:type="spellEnd"/>
      <w:r>
        <w:t xml:space="preserve">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2777298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E503B" wp14:editId="7008B4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FE238" wp14:editId="2B963F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2FF2A" wp14:editId="79D3D0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7EA03" wp14:editId="3AD945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A6334" wp14:editId="26FCA2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65B7C" wp14:editId="545074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B402E" w:rsidRDefault="001B402E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2777299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2777300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AA7304" w:rsidP="007D1BE8">
            <w:pPr>
              <w:jc w:val="center"/>
            </w:pPr>
            <w:r>
              <w:t>150821004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Pr="008E53C6" w:rsidRDefault="008E53C6" w:rsidP="008E53C6">
      <w:pPr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10361C" w:rsidRDefault="0010361C" w:rsidP="00A016BD">
      <w:pPr>
        <w:pStyle w:val="1"/>
      </w:pPr>
      <w:bookmarkStart w:id="7" w:name="_Toc82777301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>АО «СКАРД-</w:t>
      </w:r>
      <w:proofErr w:type="spellStart"/>
      <w:r w:rsidR="000B6821">
        <w:rPr>
          <w:iCs/>
        </w:rPr>
        <w:t>Электроникс</w:t>
      </w:r>
      <w:proofErr w:type="spellEnd"/>
      <w:r w:rsidR="000B6821">
        <w:rPr>
          <w:iCs/>
        </w:rPr>
        <w:t xml:space="preserve">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2777302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2777303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A7304">
              <w:rPr>
                <w:spacing w:val="-4"/>
              </w:rPr>
              <w:t>150821004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>АО «СКАРД-</w:t>
            </w:r>
            <w:proofErr w:type="spellStart"/>
            <w:r w:rsidRPr="0019585B">
              <w:rPr>
                <w:spacing w:val="-4"/>
              </w:rPr>
              <w:t>Электроникс</w:t>
            </w:r>
            <w:proofErr w:type="spellEnd"/>
            <w:r w:rsidRPr="0019585B">
              <w:rPr>
                <w:spacing w:val="-4"/>
              </w:rPr>
              <w:t xml:space="preserve">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1B402E" w:rsidP="0088116E">
            <w:pPr>
              <w:jc w:val="center"/>
            </w:pPr>
            <w:r>
              <w:t xml:space="preserve">Регулировщик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1B402E" w:rsidP="0088116E">
            <w:pPr>
              <w:jc w:val="center"/>
            </w:pPr>
            <w:r>
              <w:t>Тимофеев В.И.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2777304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A7304">
              <w:rPr>
                <w:spacing w:val="-4"/>
              </w:rPr>
              <w:t>150821004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bookmarkStart w:id="11" w:name="_Toc82777305"/>
    <w:p w:rsidR="0010361C" w:rsidRDefault="00A34205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2E" w:rsidRDefault="001B402E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1B402E" w:rsidRDefault="001B402E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775AC3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ц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1234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2777306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9B28F7" w:rsidRDefault="009B28F7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2777307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9B28F7" w:rsidRDefault="009B28F7" w:rsidP="009B28F7"/>
    <w:p w:rsidR="0010361C" w:rsidRDefault="0010361C" w:rsidP="00A016BD">
      <w:pPr>
        <w:pStyle w:val="1"/>
      </w:pPr>
      <w:bookmarkStart w:id="14" w:name="_Toc82777308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82777309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2777310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02E" w:rsidRDefault="001B402E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B402E" w:rsidRDefault="001B402E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2777311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8" w:name="_Toc82777312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2777313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2777314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2777315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D3C69" w:rsidRPr="00434F12" w:rsidTr="00E347E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0D3C69" w:rsidP="006A5448">
            <w:pPr>
              <w:jc w:val="center"/>
              <w:rPr>
                <w:spacing w:val="-4"/>
              </w:rPr>
            </w:pPr>
            <w:r w:rsidRPr="008864E5">
              <w:t>30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E347E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34748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C07ACC" w:rsidRDefault="00C07ACC" w:rsidP="00C07ACC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534748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88116E" w:rsidRPr="00031B9F" w:rsidRDefault="000D3C69" w:rsidP="00031B9F">
            <w:pPr>
              <w:jc w:val="center"/>
            </w:pPr>
            <w:r w:rsidRPr="00031B9F">
              <w:t>Штамп ОТК</w:t>
            </w:r>
          </w:p>
          <w:p w:rsidR="000D3C69" w:rsidRPr="00031B9F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34748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2777316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6506F4" w:rsidP="007924AA">
      <w:pPr>
        <w:jc w:val="center"/>
      </w:pPr>
    </w:p>
    <w:p w:rsidR="001B402E" w:rsidRDefault="00020794" w:rsidP="007B4F5C">
      <w:pPr>
        <w:jc w:val="center"/>
        <w:rPr>
          <w:szCs w:val="28"/>
        </w:rPr>
      </w:pPr>
      <w:r>
        <w:rPr>
          <w:noProof/>
        </w:rPr>
        <w:drawing>
          <wp:inline distT="0" distB="0" distL="0" distR="0" wp14:anchorId="6461BF8D" wp14:editId="7961EF47">
            <wp:extent cx="8783844" cy="5087389"/>
            <wp:effectExtent l="0" t="0" r="1778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02E" w:rsidRDefault="001B402E">
      <w:pPr>
        <w:rPr>
          <w:szCs w:val="28"/>
        </w:rPr>
      </w:pPr>
      <w:r>
        <w:rPr>
          <w:szCs w:val="28"/>
        </w:rPr>
        <w:br w:type="page"/>
      </w: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82777317"/>
      <w:r>
        <w:lastRenderedPageBreak/>
        <w:t>ПРИЛОЖЕНИЕ Б</w:t>
      </w:r>
      <w:bookmarkEnd w:id="23"/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r>
        <w:tab/>
      </w:r>
      <w:bookmarkStart w:id="24" w:name="_Toc82777318"/>
      <w:r>
        <w:t>Таблица значений коэффициентов калибровки в зависимости от частоты антенны П6-121</w:t>
      </w:r>
      <w:bookmarkEnd w:id="24"/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</w:p>
    <w:tbl>
      <w:tblPr>
        <w:tblW w:w="3180" w:type="dxa"/>
        <w:tblInd w:w="4361" w:type="dxa"/>
        <w:tblLook w:val="04A0" w:firstRow="1" w:lastRow="0" w:firstColumn="1" w:lastColumn="0" w:noHBand="0" w:noVBand="1"/>
      </w:tblPr>
      <w:tblGrid>
        <w:gridCol w:w="1700"/>
        <w:gridCol w:w="1480"/>
      </w:tblGrid>
      <w:tr w:rsidR="001B402E" w:rsidRPr="001B402E" w:rsidTr="001B402E">
        <w:trPr>
          <w:trHeight w:val="2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 xml:space="preserve">Частота, </w:t>
            </w:r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МГц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</w:pPr>
            <w:proofErr w:type="spellStart"/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Кк</w:t>
            </w:r>
            <w:proofErr w:type="spellEnd"/>
            <w:r w:rsidRPr="001B402E">
              <w:rPr>
                <w:rFonts w:ascii="Arial CYR" w:hAnsi="Arial CYR" w:cs="Arial CYR"/>
                <w:b/>
                <w:bCs/>
                <w:color w:val="993366"/>
                <w:sz w:val="20"/>
                <w:szCs w:val="20"/>
              </w:rPr>
              <w:t>, дБ/м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9,5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9,7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02E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260,0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280,0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</w:tr>
      <w:tr w:rsidR="001B402E" w:rsidRPr="001B402E" w:rsidTr="001B402E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B402E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02E" w:rsidRPr="001B402E" w:rsidRDefault="001B402E" w:rsidP="001B4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02E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</w:tr>
    </w:tbl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0D3C69">
      <w:footerReference w:type="default" r:id="rId14"/>
      <w:footerReference w:type="first" r:id="rId15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2F" w:rsidRDefault="00CD6F2F" w:rsidP="0010361C">
      <w:r>
        <w:separator/>
      </w:r>
    </w:p>
  </w:endnote>
  <w:endnote w:type="continuationSeparator" w:id="0">
    <w:p w:rsidR="00CD6F2F" w:rsidRDefault="00CD6F2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402E" w:rsidRDefault="001B402E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0C85">
      <w:rPr>
        <w:rStyle w:val="af2"/>
        <w:noProof/>
      </w:rPr>
      <w:t>3</w:t>
    </w:r>
    <w:r>
      <w:rPr>
        <w:rStyle w:val="af2"/>
      </w:rPr>
      <w:fldChar w:fldCharType="end"/>
    </w:r>
  </w:p>
  <w:p w:rsidR="001B402E" w:rsidRDefault="001B402E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Pr="002A31D5" w:rsidRDefault="001B402E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A40C85">
      <w:rPr>
        <w:noProof/>
      </w:rPr>
      <w:t>31</w:t>
    </w:r>
    <w:r w:rsidRPr="002A31D5">
      <w:fldChar w:fldCharType="end"/>
    </w:r>
  </w:p>
  <w:p w:rsidR="001B402E" w:rsidRDefault="001B402E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2E" w:rsidRDefault="001B402E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40C85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2F" w:rsidRDefault="00CD6F2F" w:rsidP="0010361C">
      <w:r>
        <w:separator/>
      </w:r>
    </w:p>
  </w:footnote>
  <w:footnote w:type="continuationSeparator" w:id="0">
    <w:p w:rsidR="00CD6F2F" w:rsidRDefault="00CD6F2F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3961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A1FC6"/>
    <w:rsid w:val="005C15C7"/>
    <w:rsid w:val="005C7974"/>
    <w:rsid w:val="005D671B"/>
    <w:rsid w:val="005E2FB4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0C85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A7304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F516C"/>
    <w:rsid w:val="00C07ACC"/>
    <w:rsid w:val="00C07FBE"/>
    <w:rsid w:val="00C13BFD"/>
    <w:rsid w:val="00C17919"/>
    <w:rsid w:val="00C24981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013F"/>
    <w:rsid w:val="00C82CC2"/>
    <w:rsid w:val="00C9102B"/>
    <w:rsid w:val="00CA4096"/>
    <w:rsid w:val="00CB0A90"/>
    <w:rsid w:val="00CB3640"/>
    <w:rsid w:val="00CD3611"/>
    <w:rsid w:val="00CD6F2F"/>
    <w:rsid w:val="00CE0B0D"/>
    <w:rsid w:val="00CE2312"/>
    <w:rsid w:val="00CE2755"/>
    <w:rsid w:val="00CF3314"/>
    <w:rsid w:val="00D034C6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86;&#1073;&#1084;&#1077;&#1085;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12_&#1055;6-121__150319605_&#1048;&#1055;%20&#1052;&#1077;&#1075;&#1077;&#1076;&#1080;&#1085;\&#1055;6-121_1503196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'568'!$A$5:$A$22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'568'!$B$5:$B$22</c:f>
              <c:numCache>
                <c:formatCode>0.0</c:formatCode>
                <c:ptCount val="18"/>
                <c:pt idx="0">
                  <c:v>12.5</c:v>
                </c:pt>
                <c:pt idx="1">
                  <c:v>10</c:v>
                </c:pt>
                <c:pt idx="2">
                  <c:v>7.9</c:v>
                </c:pt>
                <c:pt idx="3">
                  <c:v>7.1</c:v>
                </c:pt>
                <c:pt idx="4">
                  <c:v>7.7</c:v>
                </c:pt>
                <c:pt idx="5">
                  <c:v>8.5</c:v>
                </c:pt>
                <c:pt idx="6">
                  <c:v>8.8000000000000007</c:v>
                </c:pt>
                <c:pt idx="7">
                  <c:v>9.1</c:v>
                </c:pt>
                <c:pt idx="8">
                  <c:v>11.3</c:v>
                </c:pt>
                <c:pt idx="9">
                  <c:v>12.7</c:v>
                </c:pt>
                <c:pt idx="10">
                  <c:v>14.4</c:v>
                </c:pt>
                <c:pt idx="11">
                  <c:v>16</c:v>
                </c:pt>
                <c:pt idx="12">
                  <c:v>14.9</c:v>
                </c:pt>
                <c:pt idx="13">
                  <c:v>14.3</c:v>
                </c:pt>
                <c:pt idx="14">
                  <c:v>15.9</c:v>
                </c:pt>
                <c:pt idx="15">
                  <c:v>15.8</c:v>
                </c:pt>
                <c:pt idx="16">
                  <c:v>19.2</c:v>
                </c:pt>
                <c:pt idx="17">
                  <c:v>22.4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475392"/>
        <c:axId val="32477568"/>
      </c:scatterChart>
      <c:valAx>
        <c:axId val="32475392"/>
        <c:scaling>
          <c:orientation val="minMax"/>
          <c:max val="32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477568"/>
        <c:crosses val="autoZero"/>
        <c:crossBetween val="midCat"/>
        <c:majorUnit val="20"/>
        <c:minorUnit val="5"/>
      </c:valAx>
      <c:valAx>
        <c:axId val="32477568"/>
        <c:scaling>
          <c:orientation val="minMax"/>
          <c:max val="24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4753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2021-09-17T10:28:00Z</cp:lastPrinted>
  <dcterms:created xsi:type="dcterms:W3CDTF">2021-09-15T07:37:00Z</dcterms:created>
  <dcterms:modified xsi:type="dcterms:W3CDTF">2021-09-17T10:35:00Z</dcterms:modified>
</cp:coreProperties>
</file>